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D3647" w14:textId="6EF078E7" w:rsidR="00CB742A" w:rsidRPr="00F179BE" w:rsidRDefault="0026326C" w:rsidP="00520133">
      <w:pPr>
        <w:spacing w:after="0" w:line="240" w:lineRule="auto"/>
        <w:jc w:val="center"/>
        <w:rPr>
          <w:sz w:val="24"/>
          <w:szCs w:val="24"/>
        </w:rPr>
      </w:pPr>
      <w:r>
        <w:rPr>
          <w:sz w:val="24"/>
          <w:szCs w:val="24"/>
          <w:u w:val="single"/>
        </w:rPr>
        <w:t xml:space="preserve">Sediment and related </w:t>
      </w:r>
      <w:r w:rsidR="000304AD">
        <w:rPr>
          <w:sz w:val="24"/>
          <w:szCs w:val="24"/>
          <w:u w:val="single"/>
        </w:rPr>
        <w:t>samples from the sea or ocean</w:t>
      </w:r>
      <w:r>
        <w:rPr>
          <w:sz w:val="24"/>
          <w:szCs w:val="24"/>
          <w:u w:val="single"/>
        </w:rPr>
        <w:t xml:space="preserve"> floor</w:t>
      </w:r>
      <w:r w:rsidR="00520133">
        <w:rPr>
          <w:sz w:val="24"/>
          <w:szCs w:val="24"/>
          <w:u w:val="single"/>
        </w:rPr>
        <w:br/>
      </w:r>
    </w:p>
    <w:p w14:paraId="0BC113D0" w14:textId="77777777" w:rsidR="00520133" w:rsidRPr="00520133" w:rsidRDefault="00556951" w:rsidP="00520133">
      <w:pPr>
        <w:pStyle w:val="ListParagraph"/>
        <w:numPr>
          <w:ilvl w:val="0"/>
          <w:numId w:val="16"/>
        </w:numPr>
        <w:spacing w:after="0" w:line="240" w:lineRule="auto"/>
        <w:textAlignment w:val="baseline"/>
        <w:rPr>
          <w:rFonts w:eastAsia="Times New Roman"/>
          <w:sz w:val="24"/>
          <w:szCs w:val="24"/>
        </w:rPr>
      </w:pPr>
      <w:r w:rsidRPr="00520133">
        <w:rPr>
          <w:rFonts w:eastAsia="Calibri"/>
          <w:sz w:val="24"/>
          <w:szCs w:val="24"/>
        </w:rPr>
        <w:t>Samples must only be sourced from the benthic zone</w:t>
      </w:r>
      <w:r w:rsidR="3A4A7542" w:rsidRPr="00520133">
        <w:rPr>
          <w:rFonts w:eastAsia="Calibri"/>
          <w:sz w:val="24"/>
          <w:szCs w:val="24"/>
        </w:rPr>
        <w:t>*</w:t>
      </w:r>
      <w:r w:rsidRPr="00520133">
        <w:rPr>
          <w:rFonts w:eastAsia="Calibri"/>
          <w:sz w:val="24"/>
          <w:szCs w:val="24"/>
        </w:rPr>
        <w:t xml:space="preserve"> of oceans or seas (i.e., sediment from the sea floor/ocean floor) within the </w:t>
      </w:r>
      <w:r w:rsidR="34C7092B" w:rsidRPr="00520133">
        <w:rPr>
          <w:rFonts w:eastAsia="Calibri"/>
          <w:sz w:val="24"/>
          <w:szCs w:val="24"/>
        </w:rPr>
        <w:t>**</w:t>
      </w:r>
      <w:r w:rsidRPr="00520133">
        <w:rPr>
          <w:rFonts w:eastAsia="Calibri"/>
          <w:sz w:val="24"/>
          <w:szCs w:val="24"/>
        </w:rPr>
        <w:t>neritic or oceanic zones. Samples must not be sourced from the following:</w:t>
      </w:r>
    </w:p>
    <w:p w14:paraId="6A10057D" w14:textId="77777777" w:rsidR="00520133" w:rsidRPr="00520133" w:rsidRDefault="25373A56" w:rsidP="00520133">
      <w:pPr>
        <w:pStyle w:val="ListParagraph"/>
        <w:numPr>
          <w:ilvl w:val="1"/>
          <w:numId w:val="16"/>
        </w:numPr>
        <w:spacing w:after="0" w:line="240" w:lineRule="auto"/>
        <w:textAlignment w:val="baseline"/>
        <w:rPr>
          <w:rFonts w:eastAsia="Times New Roman"/>
          <w:sz w:val="24"/>
          <w:szCs w:val="24"/>
        </w:rPr>
      </w:pPr>
      <w:r w:rsidRPr="00520133">
        <w:rPr>
          <w:rFonts w:eastAsia="Calibri"/>
          <w:sz w:val="24"/>
          <w:szCs w:val="24"/>
        </w:rPr>
        <w:t>**</w:t>
      </w:r>
      <w:r w:rsidR="00556951" w:rsidRPr="00520133">
        <w:rPr>
          <w:rFonts w:eastAsia="Calibri"/>
          <w:sz w:val="24"/>
          <w:szCs w:val="24"/>
        </w:rPr>
        <w:t>The intertidal zone (including estuaries)</w:t>
      </w:r>
    </w:p>
    <w:p w14:paraId="03834D08" w14:textId="77777777" w:rsidR="00520133" w:rsidRPr="00520133" w:rsidRDefault="00556951" w:rsidP="00520133">
      <w:pPr>
        <w:pStyle w:val="ListParagraph"/>
        <w:numPr>
          <w:ilvl w:val="1"/>
          <w:numId w:val="16"/>
        </w:numPr>
        <w:spacing w:after="0" w:line="240" w:lineRule="auto"/>
        <w:textAlignment w:val="baseline"/>
        <w:rPr>
          <w:rFonts w:eastAsia="Times New Roman"/>
          <w:sz w:val="24"/>
          <w:szCs w:val="24"/>
        </w:rPr>
      </w:pPr>
      <w:r w:rsidRPr="00520133">
        <w:rPr>
          <w:rFonts w:eastAsia="Calibri" w:cstheme="minorHAnsi"/>
          <w:sz w:val="24"/>
          <w:szCs w:val="24"/>
        </w:rPr>
        <w:t>Aquaculture sites</w:t>
      </w:r>
    </w:p>
    <w:p w14:paraId="41B6FF4E" w14:textId="5C249C0C" w:rsidR="00556951" w:rsidRPr="00520133" w:rsidRDefault="00556951" w:rsidP="00520133">
      <w:pPr>
        <w:pStyle w:val="ListParagraph"/>
        <w:numPr>
          <w:ilvl w:val="1"/>
          <w:numId w:val="16"/>
        </w:numPr>
        <w:spacing w:after="0" w:line="240" w:lineRule="auto"/>
        <w:textAlignment w:val="baseline"/>
        <w:rPr>
          <w:rFonts w:eastAsia="Times New Roman"/>
          <w:sz w:val="24"/>
          <w:szCs w:val="24"/>
        </w:rPr>
      </w:pPr>
      <w:r w:rsidRPr="00520133">
        <w:rPr>
          <w:rFonts w:eastAsia="Calibri" w:cstheme="minorHAnsi"/>
          <w:sz w:val="24"/>
          <w:szCs w:val="24"/>
        </w:rPr>
        <w:t>Inland seas</w:t>
      </w:r>
    </w:p>
    <w:p w14:paraId="218D9C73" w14:textId="77777777" w:rsidR="00520133" w:rsidRDefault="00556951" w:rsidP="00520133">
      <w:pPr>
        <w:pStyle w:val="ListParagraph"/>
        <w:numPr>
          <w:ilvl w:val="0"/>
          <w:numId w:val="16"/>
        </w:numPr>
        <w:spacing w:after="0" w:line="240" w:lineRule="auto"/>
        <w:rPr>
          <w:rFonts w:eastAsia="Calibri" w:cstheme="minorHAnsi"/>
          <w:sz w:val="24"/>
          <w:szCs w:val="24"/>
        </w:rPr>
      </w:pPr>
      <w:r w:rsidRPr="00520133">
        <w:rPr>
          <w:rFonts w:eastAsia="Calibri" w:cstheme="minorHAnsi"/>
          <w:sz w:val="24"/>
          <w:szCs w:val="24"/>
        </w:rPr>
        <w:t>Samples must not contain visible animal tissues or whole animals (shells and bones are permissible).</w:t>
      </w:r>
    </w:p>
    <w:p w14:paraId="06E201FE" w14:textId="77777777" w:rsidR="00520133" w:rsidRPr="00520133" w:rsidRDefault="00BE7860" w:rsidP="00520133">
      <w:pPr>
        <w:pStyle w:val="ListParagraph"/>
        <w:numPr>
          <w:ilvl w:val="0"/>
          <w:numId w:val="16"/>
        </w:numPr>
        <w:spacing w:after="0" w:line="240" w:lineRule="auto"/>
        <w:rPr>
          <w:rFonts w:eastAsia="Calibri" w:cstheme="minorHAnsi"/>
          <w:sz w:val="24"/>
          <w:szCs w:val="24"/>
        </w:rPr>
      </w:pPr>
      <w:r w:rsidRPr="00520133">
        <w:rPr>
          <w:rFonts w:eastAsia="Times New Roman"/>
          <w:sz w:val="24"/>
          <w:szCs w:val="24"/>
        </w:rPr>
        <w:t>Samples</w:t>
      </w:r>
      <w:r w:rsidR="003176BC" w:rsidRPr="00520133">
        <w:rPr>
          <w:rFonts w:eastAsia="Times New Roman"/>
          <w:sz w:val="24"/>
          <w:szCs w:val="24"/>
        </w:rPr>
        <w:t xml:space="preserve"> must undergo one of the following </w:t>
      </w:r>
      <w:r w:rsidRPr="00520133">
        <w:rPr>
          <w:rFonts w:eastAsia="Times New Roman"/>
          <w:sz w:val="24"/>
          <w:szCs w:val="24"/>
        </w:rPr>
        <w:t xml:space="preserve">treatments </w:t>
      </w:r>
      <w:r w:rsidR="003176BC" w:rsidRPr="00520133">
        <w:rPr>
          <w:rFonts w:eastAsia="Times New Roman"/>
          <w:sz w:val="24"/>
          <w:szCs w:val="24"/>
        </w:rPr>
        <w:t>p</w:t>
      </w:r>
      <w:r w:rsidR="00D96D0E" w:rsidRPr="00520133">
        <w:rPr>
          <w:rFonts w:eastAsia="Times New Roman"/>
          <w:sz w:val="24"/>
          <w:szCs w:val="24"/>
        </w:rPr>
        <w:t>rior to import</w:t>
      </w:r>
      <w:r w:rsidRPr="00520133">
        <w:rPr>
          <w:rFonts w:eastAsia="Times New Roman"/>
          <w:sz w:val="24"/>
          <w:szCs w:val="24"/>
        </w:rPr>
        <w:t>,</w:t>
      </w:r>
      <w:r w:rsidR="0026326C" w:rsidRPr="00520133">
        <w:rPr>
          <w:rFonts w:eastAsia="Times New Roman"/>
          <w:sz w:val="24"/>
          <w:szCs w:val="24"/>
        </w:rPr>
        <w:t xml:space="preserve"> or </w:t>
      </w:r>
      <w:r w:rsidR="00CC4971" w:rsidRPr="00520133">
        <w:rPr>
          <w:rFonts w:eastAsia="Times New Roman"/>
          <w:sz w:val="24"/>
          <w:szCs w:val="24"/>
        </w:rPr>
        <w:t>immediately after import</w:t>
      </w:r>
      <w:r w:rsidR="00E77D45" w:rsidRPr="00520133">
        <w:rPr>
          <w:rFonts w:eastAsia="Times New Roman"/>
          <w:sz w:val="24"/>
          <w:szCs w:val="24"/>
        </w:rPr>
        <w:t>:</w:t>
      </w:r>
    </w:p>
    <w:p w14:paraId="60E734ED" w14:textId="77777777" w:rsidR="00520133" w:rsidRDefault="007E6ECB" w:rsidP="00520133">
      <w:pPr>
        <w:pStyle w:val="ListParagraph"/>
        <w:numPr>
          <w:ilvl w:val="1"/>
          <w:numId w:val="16"/>
        </w:numPr>
        <w:spacing w:after="0" w:line="240" w:lineRule="auto"/>
        <w:rPr>
          <w:rFonts w:eastAsia="Calibri" w:cstheme="minorHAnsi"/>
          <w:sz w:val="24"/>
          <w:szCs w:val="24"/>
        </w:rPr>
      </w:pPr>
      <w:r w:rsidRPr="00520133">
        <w:rPr>
          <w:rFonts w:eastAsia="Calibri" w:cstheme="minorHAnsi"/>
          <w:sz w:val="24"/>
          <w:szCs w:val="24"/>
        </w:rPr>
        <w:t xml:space="preserve">Freezing to achieve a consistent temperature throughout of -20°C; or </w:t>
      </w:r>
    </w:p>
    <w:p w14:paraId="0C947A06" w14:textId="77777777" w:rsidR="00520133" w:rsidRDefault="007E6ECB" w:rsidP="00520133">
      <w:pPr>
        <w:pStyle w:val="ListParagraph"/>
        <w:numPr>
          <w:ilvl w:val="1"/>
          <w:numId w:val="16"/>
        </w:numPr>
        <w:spacing w:after="0" w:line="240" w:lineRule="auto"/>
        <w:rPr>
          <w:rFonts w:eastAsia="Calibri" w:cstheme="minorHAnsi"/>
          <w:sz w:val="24"/>
          <w:szCs w:val="24"/>
        </w:rPr>
      </w:pPr>
      <w:r w:rsidRPr="00520133">
        <w:rPr>
          <w:rFonts w:eastAsia="Calibri" w:cstheme="minorHAnsi"/>
          <w:sz w:val="24"/>
          <w:szCs w:val="24"/>
        </w:rPr>
        <w:t>Heating to achieve a consistent temperature throughout of 56°C; or</w:t>
      </w:r>
    </w:p>
    <w:p w14:paraId="0A65DD92" w14:textId="77777777" w:rsidR="00520133" w:rsidRDefault="007E6ECB" w:rsidP="00520133">
      <w:pPr>
        <w:pStyle w:val="ListParagraph"/>
        <w:numPr>
          <w:ilvl w:val="1"/>
          <w:numId w:val="16"/>
        </w:numPr>
        <w:spacing w:after="0" w:line="240" w:lineRule="auto"/>
        <w:rPr>
          <w:rFonts w:eastAsia="Calibri" w:cstheme="minorHAnsi"/>
          <w:sz w:val="24"/>
          <w:szCs w:val="24"/>
        </w:rPr>
      </w:pPr>
      <w:r w:rsidRPr="00520133">
        <w:rPr>
          <w:rFonts w:eastAsia="Calibri" w:cstheme="minorHAnsi"/>
          <w:sz w:val="24"/>
          <w:szCs w:val="24"/>
        </w:rPr>
        <w:t>Ionising radiation to achieve a minimum absorbed dose of 50 kGy; or</w:t>
      </w:r>
    </w:p>
    <w:p w14:paraId="31728CFA" w14:textId="77777777" w:rsidR="00520133" w:rsidRDefault="007E6ECB" w:rsidP="00520133">
      <w:pPr>
        <w:pStyle w:val="ListParagraph"/>
        <w:numPr>
          <w:ilvl w:val="1"/>
          <w:numId w:val="16"/>
        </w:numPr>
        <w:spacing w:after="0" w:line="240" w:lineRule="auto"/>
        <w:rPr>
          <w:rFonts w:eastAsia="Calibri" w:cstheme="minorHAnsi"/>
          <w:sz w:val="24"/>
          <w:szCs w:val="24"/>
        </w:rPr>
      </w:pPr>
      <w:r w:rsidRPr="00520133">
        <w:rPr>
          <w:rFonts w:eastAsia="Calibri" w:cstheme="minorHAnsi"/>
          <w:sz w:val="24"/>
          <w:szCs w:val="24"/>
        </w:rPr>
        <w:t>Addition of sodium hypochlorite or calcium hypochlorite to achieve a final concentration of 2,500 ppm chlorine, ensuring thorough mixing through the sample.</w:t>
      </w:r>
    </w:p>
    <w:p w14:paraId="2BDA9DF4" w14:textId="77777777" w:rsidR="00520133" w:rsidRDefault="003176BC" w:rsidP="00520133">
      <w:pPr>
        <w:pStyle w:val="ListParagraph"/>
        <w:spacing w:after="0" w:line="240" w:lineRule="auto"/>
        <w:ind w:left="792"/>
        <w:rPr>
          <w:rFonts w:eastAsia="Times New Roman"/>
          <w:sz w:val="24"/>
          <w:szCs w:val="24"/>
        </w:rPr>
      </w:pPr>
      <w:r w:rsidRPr="00520133">
        <w:rPr>
          <w:rFonts w:eastAsia="Times New Roman"/>
          <w:sz w:val="24"/>
          <w:szCs w:val="24"/>
        </w:rPr>
        <w:t>Treatment must be performed prior to any other use or analysis of the goods.</w:t>
      </w:r>
    </w:p>
    <w:p w14:paraId="19E63719" w14:textId="77777777" w:rsidR="00520133" w:rsidRPr="00520133" w:rsidRDefault="000A2648" w:rsidP="00520133">
      <w:pPr>
        <w:pStyle w:val="ListParagraph"/>
        <w:numPr>
          <w:ilvl w:val="0"/>
          <w:numId w:val="16"/>
        </w:numPr>
        <w:spacing w:after="0" w:line="240" w:lineRule="auto"/>
        <w:rPr>
          <w:rFonts w:eastAsia="Calibri" w:cstheme="minorHAnsi"/>
          <w:sz w:val="24"/>
          <w:szCs w:val="24"/>
        </w:rPr>
      </w:pPr>
      <w:r w:rsidRPr="00520133">
        <w:rPr>
          <w:rFonts w:eastAsia="Times New Roman"/>
          <w:sz w:val="24"/>
          <w:szCs w:val="24"/>
        </w:rPr>
        <w:t>The goods m</w:t>
      </w:r>
      <w:r w:rsidR="009A27D7" w:rsidRPr="00520133">
        <w:rPr>
          <w:rFonts w:eastAsia="Times New Roman"/>
          <w:sz w:val="24"/>
          <w:szCs w:val="24"/>
        </w:rPr>
        <w:t>ust be</w:t>
      </w:r>
      <w:r w:rsidRPr="00520133">
        <w:rPr>
          <w:rFonts w:eastAsia="Times New Roman"/>
          <w:sz w:val="24"/>
          <w:szCs w:val="24"/>
        </w:rPr>
        <w:t xml:space="preserve"> either:</w:t>
      </w:r>
    </w:p>
    <w:p w14:paraId="47A98EEF" w14:textId="77777777" w:rsidR="00520133" w:rsidRPr="00520133" w:rsidRDefault="00C34F2D" w:rsidP="00520133">
      <w:pPr>
        <w:pStyle w:val="ListParagraph"/>
        <w:numPr>
          <w:ilvl w:val="1"/>
          <w:numId w:val="16"/>
        </w:numPr>
        <w:spacing w:after="0" w:line="240" w:lineRule="auto"/>
        <w:rPr>
          <w:rFonts w:eastAsia="Calibri" w:cstheme="minorHAnsi"/>
          <w:sz w:val="24"/>
          <w:szCs w:val="24"/>
        </w:rPr>
      </w:pPr>
      <w:r w:rsidRPr="00520133">
        <w:rPr>
          <w:rFonts w:eastAsia="Times New Roman"/>
          <w:sz w:val="24"/>
          <w:szCs w:val="24"/>
        </w:rPr>
        <w:t>I</w:t>
      </w:r>
      <w:r w:rsidR="009A27D7" w:rsidRPr="00520133">
        <w:rPr>
          <w:rFonts w:eastAsia="Times New Roman"/>
          <w:sz w:val="24"/>
          <w:szCs w:val="24"/>
        </w:rPr>
        <w:t>mported in volumes of less than 1Kg or 1L per individually packaged unit</w:t>
      </w:r>
      <w:r w:rsidR="00ED2EDA" w:rsidRPr="00520133">
        <w:rPr>
          <w:rFonts w:eastAsia="Times New Roman"/>
          <w:sz w:val="24"/>
          <w:szCs w:val="24"/>
        </w:rPr>
        <w:t>;</w:t>
      </w:r>
      <w:r w:rsidR="000A2648" w:rsidRPr="00520133">
        <w:rPr>
          <w:rFonts w:eastAsia="Times New Roman"/>
          <w:sz w:val="24"/>
          <w:szCs w:val="24"/>
        </w:rPr>
        <w:t xml:space="preserve"> </w:t>
      </w:r>
      <w:r w:rsidR="00ED2EDA" w:rsidRPr="00520133">
        <w:rPr>
          <w:rFonts w:eastAsia="Times New Roman"/>
          <w:sz w:val="24"/>
          <w:szCs w:val="24"/>
        </w:rPr>
        <w:t>or</w:t>
      </w:r>
    </w:p>
    <w:p w14:paraId="1A9FC097" w14:textId="77777777" w:rsidR="00520133" w:rsidRDefault="00C34F2D" w:rsidP="00520133">
      <w:pPr>
        <w:pStyle w:val="ListParagraph"/>
        <w:numPr>
          <w:ilvl w:val="1"/>
          <w:numId w:val="16"/>
        </w:numPr>
        <w:spacing w:after="0" w:line="240" w:lineRule="auto"/>
        <w:rPr>
          <w:rFonts w:eastAsia="Calibri" w:cstheme="minorHAnsi"/>
          <w:sz w:val="24"/>
          <w:szCs w:val="24"/>
        </w:rPr>
      </w:pPr>
      <w:r w:rsidRPr="00520133">
        <w:rPr>
          <w:rFonts w:eastAsia="Calibri" w:cstheme="minorHAnsi"/>
          <w:sz w:val="24"/>
          <w:szCs w:val="24"/>
        </w:rPr>
        <w:t>M</w:t>
      </w:r>
      <w:r w:rsidR="00ED2EDA" w:rsidRPr="00520133">
        <w:rPr>
          <w:rFonts w:eastAsia="Calibri" w:cstheme="minorHAnsi"/>
          <w:sz w:val="24"/>
          <w:szCs w:val="24"/>
        </w:rPr>
        <w:t>ining or geological samples imported in volumes of no greater than 60 L or 60 kg per individually packaged unit for physical and/or chemical analysis only.</w:t>
      </w:r>
    </w:p>
    <w:p w14:paraId="4B201068" w14:textId="77777777" w:rsidR="00520133" w:rsidRDefault="0061488A" w:rsidP="00520133">
      <w:pPr>
        <w:pStyle w:val="ListParagraph"/>
        <w:numPr>
          <w:ilvl w:val="0"/>
          <w:numId w:val="16"/>
        </w:numPr>
        <w:spacing w:after="0" w:line="240" w:lineRule="auto"/>
        <w:rPr>
          <w:rFonts w:eastAsia="Times New Roman"/>
          <w:sz w:val="24"/>
          <w:szCs w:val="24"/>
        </w:rPr>
      </w:pPr>
      <w:r w:rsidRPr="00520133">
        <w:rPr>
          <w:rFonts w:eastAsia="Times New Roman"/>
          <w:sz w:val="24"/>
          <w:szCs w:val="24"/>
        </w:rPr>
        <w:t xml:space="preserve">To demonstrate compliance with the above, the following must be provided on a Manufacturer’s declaration, Exporter’s </w:t>
      </w:r>
      <w:r w:rsidR="00BE7860" w:rsidRPr="00520133">
        <w:rPr>
          <w:rFonts w:eastAsia="Times New Roman"/>
          <w:sz w:val="24"/>
          <w:szCs w:val="24"/>
        </w:rPr>
        <w:t>declaration,</w:t>
      </w:r>
      <w:r w:rsidRPr="00520133">
        <w:rPr>
          <w:rFonts w:eastAsia="Times New Roman"/>
          <w:sz w:val="24"/>
          <w:szCs w:val="24"/>
        </w:rPr>
        <w:t xml:space="preserve"> or Supplier’s declaration:</w:t>
      </w:r>
    </w:p>
    <w:p w14:paraId="0EA50AFB" w14:textId="2D0C4782" w:rsidR="00520133" w:rsidRPr="00520133" w:rsidRDefault="00556951" w:rsidP="00520133">
      <w:pPr>
        <w:pStyle w:val="ListParagraph"/>
        <w:numPr>
          <w:ilvl w:val="1"/>
          <w:numId w:val="16"/>
        </w:numPr>
        <w:spacing w:after="0" w:line="240" w:lineRule="auto"/>
        <w:rPr>
          <w:rFonts w:eastAsia="Times New Roman"/>
          <w:sz w:val="24"/>
          <w:szCs w:val="24"/>
        </w:rPr>
      </w:pPr>
      <w:r w:rsidRPr="00520133">
        <w:rPr>
          <w:rFonts w:eastAsia="Times New Roman"/>
          <w:sz w:val="24"/>
          <w:szCs w:val="24"/>
        </w:rPr>
        <w:t>A statement that the goods are sediment and related samples</w:t>
      </w:r>
      <w:r w:rsidR="00500A44" w:rsidRPr="00520133">
        <w:rPr>
          <w:rFonts w:eastAsia="Times New Roman"/>
          <w:sz w:val="24"/>
          <w:szCs w:val="24"/>
        </w:rPr>
        <w:t xml:space="preserve"> which</w:t>
      </w:r>
      <w:r w:rsidRPr="00520133">
        <w:rPr>
          <w:rFonts w:eastAsia="Times New Roman"/>
          <w:sz w:val="24"/>
          <w:szCs w:val="24"/>
        </w:rPr>
        <w:t xml:space="preserve"> </w:t>
      </w:r>
      <w:r w:rsidR="13387732" w:rsidRPr="00520133">
        <w:rPr>
          <w:rFonts w:eastAsia="Times New Roman"/>
          <w:sz w:val="24"/>
          <w:szCs w:val="24"/>
        </w:rPr>
        <w:t xml:space="preserve">have been </w:t>
      </w:r>
      <w:r w:rsidR="00BE7860" w:rsidRPr="00520133">
        <w:rPr>
          <w:rFonts w:eastAsia="Calibri"/>
          <w:sz w:val="24"/>
          <w:szCs w:val="24"/>
        </w:rPr>
        <w:t>sourced from the benthic zone (i.e., sediment from the sea floor/ocean floor) within the neritic or oceanic zones only; and</w:t>
      </w:r>
    </w:p>
    <w:p w14:paraId="61C4106A" w14:textId="77777777" w:rsidR="00520133" w:rsidRPr="00520133" w:rsidRDefault="00556951" w:rsidP="00520133">
      <w:pPr>
        <w:pStyle w:val="ListParagraph"/>
        <w:numPr>
          <w:ilvl w:val="1"/>
          <w:numId w:val="16"/>
        </w:numPr>
        <w:spacing w:after="0" w:line="240" w:lineRule="auto"/>
        <w:rPr>
          <w:rFonts w:eastAsia="Calibri" w:cstheme="minorHAnsi"/>
          <w:sz w:val="24"/>
          <w:szCs w:val="24"/>
        </w:rPr>
      </w:pPr>
      <w:r w:rsidRPr="00520133">
        <w:rPr>
          <w:rFonts w:eastAsia="Times New Roman"/>
          <w:sz w:val="24"/>
          <w:szCs w:val="24"/>
        </w:rPr>
        <w:t xml:space="preserve">A statement that the goods have not been sourced from </w:t>
      </w:r>
      <w:r w:rsidR="00BE7860" w:rsidRPr="00520133">
        <w:rPr>
          <w:rFonts w:eastAsia="Times New Roman"/>
          <w:sz w:val="24"/>
          <w:szCs w:val="24"/>
        </w:rPr>
        <w:t>the intertidal zone (including estuaries), aquaculture sites or inland seas; and</w:t>
      </w:r>
    </w:p>
    <w:p w14:paraId="0A65FACB" w14:textId="77777777" w:rsidR="00520133" w:rsidRPr="00520133" w:rsidRDefault="00BE7860" w:rsidP="00520133">
      <w:pPr>
        <w:pStyle w:val="ListParagraph"/>
        <w:spacing w:after="0" w:line="240" w:lineRule="auto"/>
        <w:ind w:left="792"/>
        <w:rPr>
          <w:rFonts w:eastAsia="Calibri" w:cstheme="minorHAnsi"/>
          <w:sz w:val="24"/>
          <w:szCs w:val="24"/>
        </w:rPr>
      </w:pPr>
      <w:r w:rsidRPr="00520133">
        <w:rPr>
          <w:rFonts w:eastAsia="Times New Roman"/>
          <w:sz w:val="24"/>
          <w:szCs w:val="24"/>
        </w:rPr>
        <w:t>If the goods have been treated prior to import</w:t>
      </w:r>
      <w:r w:rsidR="003067F9" w:rsidRPr="00520133">
        <w:rPr>
          <w:rFonts w:eastAsia="Times New Roman"/>
          <w:sz w:val="24"/>
          <w:szCs w:val="24"/>
        </w:rPr>
        <w:t>:</w:t>
      </w:r>
    </w:p>
    <w:p w14:paraId="13238C1E" w14:textId="77777777" w:rsidR="00520133" w:rsidRPr="00520133" w:rsidRDefault="00C34F2D" w:rsidP="00520133">
      <w:pPr>
        <w:pStyle w:val="ListParagraph"/>
        <w:numPr>
          <w:ilvl w:val="1"/>
          <w:numId w:val="16"/>
        </w:numPr>
        <w:spacing w:after="0" w:line="240" w:lineRule="auto"/>
        <w:rPr>
          <w:rFonts w:eastAsia="Calibri" w:cstheme="minorHAnsi"/>
          <w:sz w:val="24"/>
          <w:szCs w:val="24"/>
        </w:rPr>
      </w:pPr>
      <w:r w:rsidRPr="00520133">
        <w:rPr>
          <w:rFonts w:eastAsia="Times New Roman"/>
          <w:sz w:val="24"/>
          <w:szCs w:val="24"/>
        </w:rPr>
        <w:t>A</w:t>
      </w:r>
      <w:r w:rsidR="00BE7860" w:rsidRPr="00520133">
        <w:rPr>
          <w:rFonts w:eastAsia="Times New Roman"/>
          <w:sz w:val="24"/>
          <w:szCs w:val="24"/>
        </w:rPr>
        <w:t xml:space="preserve"> statement that the goods have undergone one of the following treatments:</w:t>
      </w:r>
    </w:p>
    <w:p w14:paraId="5B946FD5" w14:textId="77777777" w:rsidR="00520133" w:rsidRDefault="00BE7860" w:rsidP="00520133">
      <w:pPr>
        <w:pStyle w:val="ListParagraph"/>
        <w:numPr>
          <w:ilvl w:val="2"/>
          <w:numId w:val="16"/>
        </w:numPr>
        <w:spacing w:after="0" w:line="240" w:lineRule="auto"/>
        <w:rPr>
          <w:rFonts w:eastAsia="Calibri" w:cstheme="minorHAnsi"/>
          <w:sz w:val="24"/>
          <w:szCs w:val="24"/>
        </w:rPr>
      </w:pPr>
      <w:r w:rsidRPr="00520133">
        <w:rPr>
          <w:rFonts w:eastAsia="Calibri" w:cstheme="minorHAnsi"/>
          <w:sz w:val="24"/>
          <w:szCs w:val="24"/>
        </w:rPr>
        <w:t xml:space="preserve">Freezing to achieve a consistent temperature throughout of -20°C; or </w:t>
      </w:r>
    </w:p>
    <w:p w14:paraId="3BF755AF" w14:textId="77777777" w:rsidR="00520133" w:rsidRDefault="00BE7860" w:rsidP="00520133">
      <w:pPr>
        <w:pStyle w:val="ListParagraph"/>
        <w:numPr>
          <w:ilvl w:val="2"/>
          <w:numId w:val="16"/>
        </w:numPr>
        <w:spacing w:after="0" w:line="240" w:lineRule="auto"/>
        <w:rPr>
          <w:rFonts w:eastAsia="Calibri" w:cstheme="minorHAnsi"/>
          <w:sz w:val="24"/>
          <w:szCs w:val="24"/>
        </w:rPr>
      </w:pPr>
      <w:r w:rsidRPr="00520133">
        <w:rPr>
          <w:rFonts w:eastAsia="Calibri" w:cstheme="minorHAnsi"/>
          <w:sz w:val="24"/>
          <w:szCs w:val="24"/>
        </w:rPr>
        <w:t>Heating to achieve a consistent temperature throughout of 56°C; or</w:t>
      </w:r>
    </w:p>
    <w:p w14:paraId="0ED4DD2E" w14:textId="77777777" w:rsidR="00520133" w:rsidRDefault="00BE7860" w:rsidP="00520133">
      <w:pPr>
        <w:pStyle w:val="ListParagraph"/>
        <w:numPr>
          <w:ilvl w:val="2"/>
          <w:numId w:val="16"/>
        </w:numPr>
        <w:spacing w:after="0" w:line="240" w:lineRule="auto"/>
        <w:rPr>
          <w:rFonts w:eastAsia="Calibri" w:cstheme="minorHAnsi"/>
          <w:sz w:val="24"/>
          <w:szCs w:val="24"/>
        </w:rPr>
      </w:pPr>
      <w:r w:rsidRPr="00520133">
        <w:rPr>
          <w:rFonts w:eastAsia="Calibri" w:cstheme="minorHAnsi"/>
          <w:sz w:val="24"/>
          <w:szCs w:val="24"/>
        </w:rPr>
        <w:t>Ionising radiation to achieve a minimum absorbed dose of 50 kGy; or</w:t>
      </w:r>
    </w:p>
    <w:p w14:paraId="1DBE2A83" w14:textId="5A83D6D0" w:rsidR="00BE7860" w:rsidRPr="00520133" w:rsidRDefault="00BE7860" w:rsidP="00520133">
      <w:pPr>
        <w:pStyle w:val="ListParagraph"/>
        <w:numPr>
          <w:ilvl w:val="2"/>
          <w:numId w:val="16"/>
        </w:numPr>
        <w:spacing w:after="0" w:line="240" w:lineRule="auto"/>
        <w:rPr>
          <w:rFonts w:eastAsia="Calibri" w:cstheme="minorHAnsi"/>
          <w:sz w:val="24"/>
          <w:szCs w:val="24"/>
        </w:rPr>
      </w:pPr>
      <w:r w:rsidRPr="00520133">
        <w:rPr>
          <w:rFonts w:eastAsia="Calibri" w:cstheme="minorHAnsi"/>
          <w:sz w:val="24"/>
          <w:szCs w:val="24"/>
        </w:rPr>
        <w:t>Addition of sodium hypochlorite or calcium hypochlorite to achieve a final concentration of 2,500 ppm chlorine, ensuring thorough mixing through the sample.</w:t>
      </w:r>
    </w:p>
    <w:p w14:paraId="362A9C0C" w14:textId="77777777" w:rsidR="00520133" w:rsidRPr="00520133" w:rsidRDefault="00286349" w:rsidP="00520133">
      <w:pPr>
        <w:pStyle w:val="ListParagraph"/>
        <w:numPr>
          <w:ilvl w:val="0"/>
          <w:numId w:val="16"/>
        </w:numPr>
        <w:spacing w:after="0" w:line="240" w:lineRule="auto"/>
        <w:textAlignment w:val="baseline"/>
        <w:rPr>
          <w:rFonts w:eastAsia="Calibri" w:cstheme="minorHAnsi"/>
          <w:sz w:val="24"/>
          <w:szCs w:val="24"/>
        </w:rPr>
      </w:pPr>
      <w:r w:rsidRPr="00520133">
        <w:rPr>
          <w:rFonts w:eastAsia="Times New Roman"/>
          <w:sz w:val="24"/>
          <w:szCs w:val="24"/>
        </w:rPr>
        <w:t>If a</w:t>
      </w:r>
      <w:r w:rsidR="493D9226" w:rsidRPr="00520133">
        <w:rPr>
          <w:rFonts w:eastAsia="Times New Roman"/>
          <w:sz w:val="24"/>
          <w:szCs w:val="24"/>
        </w:rPr>
        <w:t>n approved</w:t>
      </w:r>
      <w:r w:rsidRPr="00520133">
        <w:rPr>
          <w:rFonts w:eastAsia="Times New Roman"/>
          <w:sz w:val="24"/>
          <w:szCs w:val="24"/>
        </w:rPr>
        <w:t xml:space="preserve"> treatment is performed after import, it is the permit holder’s responsibility to ensure the treatment is applied effectively and relevant records are kept.</w:t>
      </w:r>
    </w:p>
    <w:p w14:paraId="00CAA79F" w14:textId="77777777" w:rsidR="00520133" w:rsidRDefault="00414A12" w:rsidP="00520133">
      <w:pPr>
        <w:pStyle w:val="ListParagraph"/>
        <w:numPr>
          <w:ilvl w:val="0"/>
          <w:numId w:val="16"/>
        </w:numPr>
        <w:spacing w:after="0" w:line="240" w:lineRule="auto"/>
        <w:textAlignment w:val="baseline"/>
        <w:rPr>
          <w:rFonts w:eastAsia="Calibri" w:cstheme="minorHAnsi"/>
          <w:sz w:val="24"/>
          <w:szCs w:val="24"/>
        </w:rPr>
      </w:pPr>
      <w:r w:rsidRPr="00520133">
        <w:rPr>
          <w:rFonts w:eastAsia="Calibri" w:cstheme="minorHAnsi"/>
          <w:sz w:val="24"/>
          <w:szCs w:val="24"/>
        </w:rPr>
        <w:t>The goods must not be exposed to or used in animals, plants, microorganisms, cell cultures or the environment, and must not be used in or on humans.</w:t>
      </w:r>
      <w:r w:rsidR="00514302" w:rsidRPr="00520133">
        <w:rPr>
          <w:rFonts w:eastAsia="Calibri" w:cstheme="minorHAnsi"/>
          <w:sz w:val="24"/>
          <w:szCs w:val="24"/>
        </w:rPr>
        <w:t xml:space="preserve"> </w:t>
      </w:r>
    </w:p>
    <w:p w14:paraId="098EC28B" w14:textId="77777777" w:rsidR="00520133" w:rsidRDefault="00727752" w:rsidP="00520133">
      <w:pPr>
        <w:pStyle w:val="ListParagraph"/>
        <w:numPr>
          <w:ilvl w:val="0"/>
          <w:numId w:val="16"/>
        </w:numPr>
        <w:spacing w:after="0" w:line="240" w:lineRule="auto"/>
        <w:textAlignment w:val="baseline"/>
        <w:rPr>
          <w:rFonts w:eastAsia="Calibri" w:cstheme="minorHAnsi"/>
          <w:sz w:val="24"/>
          <w:szCs w:val="24"/>
        </w:rPr>
      </w:pPr>
      <w:r w:rsidRPr="00520133">
        <w:rPr>
          <w:rFonts w:eastAsia="Calibri" w:cstheme="minorHAnsi"/>
          <w:sz w:val="24"/>
          <w:szCs w:val="24"/>
        </w:rPr>
        <w:t>The goods must not be used for culture or isolation of microorganisms and infectious agents.</w:t>
      </w:r>
    </w:p>
    <w:p w14:paraId="33CB9493" w14:textId="77777777" w:rsidR="00520133" w:rsidRDefault="00727752" w:rsidP="00520133">
      <w:pPr>
        <w:pStyle w:val="ListParagraph"/>
        <w:numPr>
          <w:ilvl w:val="0"/>
          <w:numId w:val="16"/>
        </w:numPr>
        <w:spacing w:after="0" w:line="240" w:lineRule="auto"/>
        <w:textAlignment w:val="baseline"/>
        <w:rPr>
          <w:rFonts w:eastAsia="Calibri" w:cstheme="minorHAnsi"/>
          <w:sz w:val="24"/>
          <w:szCs w:val="24"/>
        </w:rPr>
      </w:pPr>
      <w:r w:rsidRPr="00520133">
        <w:rPr>
          <w:rFonts w:eastAsia="Calibri" w:cstheme="minorHAnsi"/>
          <w:sz w:val="24"/>
          <w:szCs w:val="24"/>
        </w:rPr>
        <w:t>Microorganisms and infectious agents must not be cultured or isolated from the materials imported under this permit.</w:t>
      </w:r>
    </w:p>
    <w:p w14:paraId="2D5B4B5D" w14:textId="77777777" w:rsidR="00520133" w:rsidRDefault="00727752" w:rsidP="00520133">
      <w:pPr>
        <w:pStyle w:val="ListParagraph"/>
        <w:numPr>
          <w:ilvl w:val="0"/>
          <w:numId w:val="16"/>
        </w:numPr>
        <w:spacing w:after="0" w:line="240" w:lineRule="auto"/>
        <w:textAlignment w:val="baseline"/>
        <w:rPr>
          <w:rFonts w:eastAsia="Calibri" w:cstheme="minorHAnsi"/>
          <w:sz w:val="24"/>
          <w:szCs w:val="24"/>
        </w:rPr>
      </w:pPr>
      <w:r w:rsidRPr="00520133">
        <w:rPr>
          <w:rFonts w:eastAsia="Calibri" w:cstheme="minorHAnsi"/>
          <w:sz w:val="24"/>
          <w:szCs w:val="24"/>
        </w:rPr>
        <w:lastRenderedPageBreak/>
        <w:t>Any microorganisms or infectious agents (including derivatives) within the goods must not be used for the synthesis of replication-competent microorganisms or infectious agents.</w:t>
      </w:r>
    </w:p>
    <w:p w14:paraId="7E65B4A5" w14:textId="77777777" w:rsidR="00520133" w:rsidRPr="00520133" w:rsidRDefault="005E2FBC" w:rsidP="00520133">
      <w:pPr>
        <w:pStyle w:val="ListParagraph"/>
        <w:numPr>
          <w:ilvl w:val="0"/>
          <w:numId w:val="16"/>
        </w:numPr>
        <w:spacing w:after="0" w:line="240" w:lineRule="auto"/>
        <w:textAlignment w:val="baseline"/>
        <w:rPr>
          <w:rFonts w:eastAsia="Calibri" w:cstheme="minorHAnsi"/>
          <w:sz w:val="24"/>
          <w:szCs w:val="24"/>
        </w:rPr>
      </w:pPr>
      <w:r w:rsidRPr="00520133">
        <w:rPr>
          <w:rFonts w:eastAsia="Times New Roman"/>
          <w:sz w:val="24"/>
          <w:szCs w:val="24"/>
        </w:rPr>
        <w:t>Prior to any liquid disposal via the sewerage system, the goods must have been treated using a method in 3. ii to 3. iv (either pre- or post-import).</w:t>
      </w:r>
    </w:p>
    <w:p w14:paraId="4074F22A" w14:textId="1B49EF15" w:rsidR="00514302" w:rsidRPr="00520133" w:rsidRDefault="00514302" w:rsidP="00520133">
      <w:pPr>
        <w:pStyle w:val="ListParagraph"/>
        <w:numPr>
          <w:ilvl w:val="0"/>
          <w:numId w:val="16"/>
        </w:numPr>
        <w:spacing w:after="0" w:line="240" w:lineRule="auto"/>
        <w:textAlignment w:val="baseline"/>
        <w:rPr>
          <w:rFonts w:eastAsia="Calibri" w:cstheme="minorHAnsi"/>
          <w:sz w:val="24"/>
          <w:szCs w:val="24"/>
        </w:rPr>
      </w:pPr>
      <w:r w:rsidRPr="00520133">
        <w:rPr>
          <w:rFonts w:eastAsia="Times New Roman" w:cstheme="minorHAnsi"/>
          <w:sz w:val="24"/>
          <w:szCs w:val="24"/>
          <w:lang w:eastAsia="en-AU"/>
        </w:rPr>
        <w:t>All imported material and derivatives must be used in accordance with the current AS/NZS 2243.3 Safety in Laboratories Part 3: Microbiological safety and containment. This includes handling and disposal procedures.</w:t>
      </w:r>
    </w:p>
    <w:p w14:paraId="43B42022" w14:textId="0BAA8FE5" w:rsidR="00D96D0E" w:rsidRPr="000A2648" w:rsidRDefault="00D96D0E" w:rsidP="000A2648">
      <w:pPr>
        <w:rPr>
          <w:sz w:val="24"/>
          <w:szCs w:val="24"/>
        </w:rPr>
      </w:pPr>
    </w:p>
    <w:p w14:paraId="703123BB" w14:textId="3D679490" w:rsidR="50CEDE71" w:rsidRDefault="50CEDE71" w:rsidP="50CEDE71">
      <w:pPr>
        <w:rPr>
          <w:rFonts w:ascii="Calibri" w:eastAsia="Calibri" w:hAnsi="Calibri" w:cs="Calibri"/>
        </w:rPr>
      </w:pPr>
      <w:r w:rsidRPr="50CEDE71">
        <w:rPr>
          <w:sz w:val="24"/>
          <w:szCs w:val="24"/>
        </w:rPr>
        <w:t xml:space="preserve">* </w:t>
      </w:r>
      <w:r w:rsidR="3E3AEC9D" w:rsidRPr="50CEDE71">
        <w:rPr>
          <w:rFonts w:ascii="Calibri" w:eastAsia="Calibri" w:hAnsi="Calibri" w:cs="Calibri"/>
        </w:rPr>
        <w:t xml:space="preserve">The benthic zone, or benthos, is the lowest ecological region in a body of water. The benthic zone begins at the shoreline and extends along the bottom of a body of water. In the case of the seas and oceans, the benthic zone ranges from the intertidal zone to the deepest ocean trenches. It comprises the sediment surface and some sub-surface </w:t>
      </w:r>
      <w:r w:rsidR="002C1191" w:rsidRPr="50CEDE71">
        <w:rPr>
          <w:rFonts w:ascii="Calibri" w:eastAsia="Calibri" w:hAnsi="Calibri" w:cs="Calibri"/>
        </w:rPr>
        <w:t>layers and</w:t>
      </w:r>
      <w:r w:rsidR="3E3AEC9D" w:rsidRPr="50CEDE71">
        <w:rPr>
          <w:rFonts w:ascii="Calibri" w:eastAsia="Calibri" w:hAnsi="Calibri" w:cs="Calibri"/>
        </w:rPr>
        <w:t xml:space="preserve"> receives the organic material from the upper layers of the ocean.</w:t>
      </w:r>
    </w:p>
    <w:p w14:paraId="039B69F9" w14:textId="2B16D2A5" w:rsidR="3E3AEC9D" w:rsidRDefault="3E3AEC9D" w:rsidP="50CEDE71">
      <w:pPr>
        <w:spacing w:line="276" w:lineRule="auto"/>
        <w:rPr>
          <w:rFonts w:ascii="Calibri" w:eastAsia="Calibri" w:hAnsi="Calibri" w:cs="Calibri"/>
        </w:rPr>
      </w:pPr>
      <w:r w:rsidRPr="50CEDE71">
        <w:rPr>
          <w:rFonts w:ascii="Calibri" w:eastAsia="Calibri" w:hAnsi="Calibri" w:cs="Calibri"/>
        </w:rPr>
        <w:t xml:space="preserve">** </w:t>
      </w:r>
      <w:r w:rsidR="190598B4" w:rsidRPr="50CEDE71">
        <w:rPr>
          <w:rFonts w:ascii="Calibri" w:eastAsia="Calibri" w:hAnsi="Calibri" w:cs="Calibri"/>
        </w:rPr>
        <w:t xml:space="preserve">As the benthic zone exists across all regions of the seas and oceans, benthic samples may be obtained from various vertical ocean zones. These are the intertidal zone, the neritic zone, and the oceanic zone. The intertidal zone is the zone that is above water at high tide and submerged at low tide. The neritic zone is the shallow part of the ocean extending from the shoreline to the edge of the continental shelf. The neritic zone is always submerged and extends to depths of 200 metres. The oceanic zone is the region of open sea beyond the continental shelf and can be over 10,000 metres deep in the deepest trenches. </w:t>
      </w:r>
    </w:p>
    <w:p w14:paraId="5FDFC5C1" w14:textId="3AFC2D16" w:rsidR="50CEDE71" w:rsidRDefault="50CEDE71" w:rsidP="50CEDE71">
      <w:pPr>
        <w:rPr>
          <w:rFonts w:ascii="Calibri" w:eastAsia="Calibri" w:hAnsi="Calibri" w:cs="Calibri"/>
        </w:rPr>
      </w:pPr>
    </w:p>
    <w:sectPr w:rsidR="50CEDE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41E1"/>
    <w:multiLevelType w:val="hybridMultilevel"/>
    <w:tmpl w:val="38CAFB6E"/>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2B50D4F"/>
    <w:multiLevelType w:val="hybridMultilevel"/>
    <w:tmpl w:val="C22A370A"/>
    <w:lvl w:ilvl="0" w:tplc="0C09001B">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AD551E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2C6F1A"/>
    <w:multiLevelType w:val="hybridMultilevel"/>
    <w:tmpl w:val="FAB0B7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7A582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8B1119"/>
    <w:multiLevelType w:val="multilevel"/>
    <w:tmpl w:val="204C54E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9A30631"/>
    <w:multiLevelType w:val="hybridMultilevel"/>
    <w:tmpl w:val="B71417B2"/>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start w:val="1"/>
      <w:numFmt w:val="lowerRoman"/>
      <w:lvlText w:val="%3."/>
      <w:lvlJc w:val="right"/>
      <w:pPr>
        <w:ind w:left="2700" w:hanging="36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D110DCD"/>
    <w:multiLevelType w:val="hybridMultilevel"/>
    <w:tmpl w:val="969088BC"/>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4F46A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397C01"/>
    <w:multiLevelType w:val="hybridMultilevel"/>
    <w:tmpl w:val="511E4290"/>
    <w:lvl w:ilvl="0" w:tplc="058634B0">
      <w:start w:val="1"/>
      <w:numFmt w:val="bullet"/>
      <w:lvlText w:val=""/>
      <w:lvlJc w:val="left"/>
      <w:pPr>
        <w:ind w:left="720" w:hanging="360"/>
      </w:pPr>
      <w:rPr>
        <w:rFonts w:ascii="Symbol" w:hAnsi="Symbol" w:hint="default"/>
      </w:rPr>
    </w:lvl>
    <w:lvl w:ilvl="1" w:tplc="BBD21326">
      <w:start w:val="1"/>
      <w:numFmt w:val="bullet"/>
      <w:lvlText w:val="o"/>
      <w:lvlJc w:val="left"/>
      <w:pPr>
        <w:ind w:left="1440" w:hanging="360"/>
      </w:pPr>
      <w:rPr>
        <w:rFonts w:ascii="Courier New" w:hAnsi="Courier New" w:hint="default"/>
      </w:rPr>
    </w:lvl>
    <w:lvl w:ilvl="2" w:tplc="DC2E8460">
      <w:start w:val="1"/>
      <w:numFmt w:val="bullet"/>
      <w:lvlText w:val=""/>
      <w:lvlJc w:val="left"/>
      <w:pPr>
        <w:ind w:left="2160" w:hanging="360"/>
      </w:pPr>
      <w:rPr>
        <w:rFonts w:ascii="Wingdings" w:hAnsi="Wingdings" w:hint="default"/>
      </w:rPr>
    </w:lvl>
    <w:lvl w:ilvl="3" w:tplc="E8D01144">
      <w:start w:val="1"/>
      <w:numFmt w:val="bullet"/>
      <w:lvlText w:val=""/>
      <w:lvlJc w:val="left"/>
      <w:pPr>
        <w:ind w:left="2880" w:hanging="360"/>
      </w:pPr>
      <w:rPr>
        <w:rFonts w:ascii="Symbol" w:hAnsi="Symbol" w:hint="default"/>
      </w:rPr>
    </w:lvl>
    <w:lvl w:ilvl="4" w:tplc="CA1051D6">
      <w:start w:val="1"/>
      <w:numFmt w:val="bullet"/>
      <w:lvlText w:val="o"/>
      <w:lvlJc w:val="left"/>
      <w:pPr>
        <w:ind w:left="3600" w:hanging="360"/>
      </w:pPr>
      <w:rPr>
        <w:rFonts w:ascii="Courier New" w:hAnsi="Courier New" w:hint="default"/>
      </w:rPr>
    </w:lvl>
    <w:lvl w:ilvl="5" w:tplc="E9947506">
      <w:start w:val="1"/>
      <w:numFmt w:val="bullet"/>
      <w:lvlText w:val=""/>
      <w:lvlJc w:val="left"/>
      <w:pPr>
        <w:ind w:left="4320" w:hanging="360"/>
      </w:pPr>
      <w:rPr>
        <w:rFonts w:ascii="Wingdings" w:hAnsi="Wingdings" w:hint="default"/>
      </w:rPr>
    </w:lvl>
    <w:lvl w:ilvl="6" w:tplc="C0AC309E">
      <w:start w:val="1"/>
      <w:numFmt w:val="bullet"/>
      <w:lvlText w:val=""/>
      <w:lvlJc w:val="left"/>
      <w:pPr>
        <w:ind w:left="5040" w:hanging="360"/>
      </w:pPr>
      <w:rPr>
        <w:rFonts w:ascii="Symbol" w:hAnsi="Symbol" w:hint="default"/>
      </w:rPr>
    </w:lvl>
    <w:lvl w:ilvl="7" w:tplc="8C90F0F4">
      <w:start w:val="1"/>
      <w:numFmt w:val="bullet"/>
      <w:lvlText w:val="o"/>
      <w:lvlJc w:val="left"/>
      <w:pPr>
        <w:ind w:left="5760" w:hanging="360"/>
      </w:pPr>
      <w:rPr>
        <w:rFonts w:ascii="Courier New" w:hAnsi="Courier New" w:hint="default"/>
      </w:rPr>
    </w:lvl>
    <w:lvl w:ilvl="8" w:tplc="6B0E8668">
      <w:start w:val="1"/>
      <w:numFmt w:val="bullet"/>
      <w:lvlText w:val=""/>
      <w:lvlJc w:val="left"/>
      <w:pPr>
        <w:ind w:left="6480" w:hanging="360"/>
      </w:pPr>
      <w:rPr>
        <w:rFonts w:ascii="Wingdings" w:hAnsi="Wingdings" w:hint="default"/>
      </w:rPr>
    </w:lvl>
  </w:abstractNum>
  <w:abstractNum w:abstractNumId="10" w15:restartNumberingAfterBreak="0">
    <w:nsid w:val="3E4A66E6"/>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3FE502AF"/>
    <w:multiLevelType w:val="hybridMultilevel"/>
    <w:tmpl w:val="4B3A78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2E16A5"/>
    <w:multiLevelType w:val="hybridMultilevel"/>
    <w:tmpl w:val="D794C10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434572F2"/>
    <w:multiLevelType w:val="hybridMultilevel"/>
    <w:tmpl w:val="E3DE5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6E3E57"/>
    <w:multiLevelType w:val="multilevel"/>
    <w:tmpl w:val="98B85856"/>
    <w:lvl w:ilvl="0">
      <w:start w:val="1"/>
      <w:numFmt w:val="decimal"/>
      <w:lvlText w:val="%1"/>
      <w:lvlJc w:val="left"/>
      <w:pPr>
        <w:ind w:left="360" w:hanging="360"/>
      </w:pPr>
      <w:rPr>
        <w:rFonts w:eastAsia="Calibri" w:hint="default"/>
      </w:rPr>
    </w:lvl>
    <w:lvl w:ilvl="1">
      <w:start w:val="1"/>
      <w:numFmt w:val="decimal"/>
      <w:lvlText w:val="%1.%2"/>
      <w:lvlJc w:val="left"/>
      <w:pPr>
        <w:ind w:left="1080" w:hanging="36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15" w15:restartNumberingAfterBreak="0">
    <w:nsid w:val="4AB36F0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C7256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5575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175B3D"/>
    <w:multiLevelType w:val="hybridMultilevel"/>
    <w:tmpl w:val="E806BF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F813BA"/>
    <w:multiLevelType w:val="hybridMultilevel"/>
    <w:tmpl w:val="080C0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0A127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38167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850C48"/>
    <w:multiLevelType w:val="hybridMultilevel"/>
    <w:tmpl w:val="996E9F0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60169585">
    <w:abstractNumId w:val="9"/>
  </w:num>
  <w:num w:numId="2" w16cid:durableId="768936834">
    <w:abstractNumId w:val="13"/>
  </w:num>
  <w:num w:numId="3" w16cid:durableId="1728727119">
    <w:abstractNumId w:val="13"/>
  </w:num>
  <w:num w:numId="4" w16cid:durableId="509098993">
    <w:abstractNumId w:val="19"/>
  </w:num>
  <w:num w:numId="5" w16cid:durableId="2005277458">
    <w:abstractNumId w:val="22"/>
  </w:num>
  <w:num w:numId="6" w16cid:durableId="790124981">
    <w:abstractNumId w:val="7"/>
  </w:num>
  <w:num w:numId="7" w16cid:durableId="1116752864">
    <w:abstractNumId w:val="6"/>
  </w:num>
  <w:num w:numId="8" w16cid:durableId="997421689">
    <w:abstractNumId w:val="3"/>
  </w:num>
  <w:num w:numId="9" w16cid:durableId="869341323">
    <w:abstractNumId w:val="1"/>
  </w:num>
  <w:num w:numId="10" w16cid:durableId="374811472">
    <w:abstractNumId w:val="18"/>
  </w:num>
  <w:num w:numId="11" w16cid:durableId="1186095393">
    <w:abstractNumId w:val="0"/>
  </w:num>
  <w:num w:numId="12" w16cid:durableId="937257272">
    <w:abstractNumId w:val="11"/>
  </w:num>
  <w:num w:numId="13" w16cid:durableId="1539200814">
    <w:abstractNumId w:val="12"/>
  </w:num>
  <w:num w:numId="14" w16cid:durableId="1159158066">
    <w:abstractNumId w:val="5"/>
  </w:num>
  <w:num w:numId="15" w16cid:durableId="875434165">
    <w:abstractNumId w:val="14"/>
  </w:num>
  <w:num w:numId="16" w16cid:durableId="1255940907">
    <w:abstractNumId w:val="20"/>
  </w:num>
  <w:num w:numId="17" w16cid:durableId="25520467">
    <w:abstractNumId w:val="21"/>
  </w:num>
  <w:num w:numId="18" w16cid:durableId="321541756">
    <w:abstractNumId w:val="2"/>
  </w:num>
  <w:num w:numId="19" w16cid:durableId="1704673718">
    <w:abstractNumId w:val="8"/>
  </w:num>
  <w:num w:numId="20" w16cid:durableId="447818362">
    <w:abstractNumId w:val="10"/>
  </w:num>
  <w:num w:numId="21" w16cid:durableId="141697738">
    <w:abstractNumId w:val="16"/>
  </w:num>
  <w:num w:numId="22" w16cid:durableId="149098525">
    <w:abstractNumId w:val="17"/>
  </w:num>
  <w:num w:numId="23" w16cid:durableId="36123414">
    <w:abstractNumId w:val="4"/>
  </w:num>
  <w:num w:numId="24" w16cid:durableId="12189345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Empty"/>
  </w:docVars>
  <w:rsids>
    <w:rsidRoot w:val="00CB742A"/>
    <w:rsid w:val="000304AD"/>
    <w:rsid w:val="00071300"/>
    <w:rsid w:val="000A2648"/>
    <w:rsid w:val="000C5A8C"/>
    <w:rsid w:val="000E1960"/>
    <w:rsid w:val="00173589"/>
    <w:rsid w:val="001A13CA"/>
    <w:rsid w:val="00223DAB"/>
    <w:rsid w:val="00226DC9"/>
    <w:rsid w:val="0024539C"/>
    <w:rsid w:val="0026326C"/>
    <w:rsid w:val="00286349"/>
    <w:rsid w:val="002C1191"/>
    <w:rsid w:val="002C1B74"/>
    <w:rsid w:val="00305C3C"/>
    <w:rsid w:val="003063A8"/>
    <w:rsid w:val="003067F9"/>
    <w:rsid w:val="003176BC"/>
    <w:rsid w:val="003538DC"/>
    <w:rsid w:val="00382ECB"/>
    <w:rsid w:val="003E0071"/>
    <w:rsid w:val="003E25E5"/>
    <w:rsid w:val="00411FFF"/>
    <w:rsid w:val="00414A12"/>
    <w:rsid w:val="0047402C"/>
    <w:rsid w:val="004F4371"/>
    <w:rsid w:val="00500A44"/>
    <w:rsid w:val="00514302"/>
    <w:rsid w:val="00520133"/>
    <w:rsid w:val="0055144F"/>
    <w:rsid w:val="00556951"/>
    <w:rsid w:val="005C10CF"/>
    <w:rsid w:val="005E2FBC"/>
    <w:rsid w:val="0061488A"/>
    <w:rsid w:val="00680E3C"/>
    <w:rsid w:val="0068442A"/>
    <w:rsid w:val="00703160"/>
    <w:rsid w:val="007177A3"/>
    <w:rsid w:val="00727752"/>
    <w:rsid w:val="007306B4"/>
    <w:rsid w:val="00762489"/>
    <w:rsid w:val="0076319E"/>
    <w:rsid w:val="007D447A"/>
    <w:rsid w:val="007E15C0"/>
    <w:rsid w:val="007E6ECB"/>
    <w:rsid w:val="009A27D7"/>
    <w:rsid w:val="00AF4E95"/>
    <w:rsid w:val="00B27D93"/>
    <w:rsid w:val="00B54A8A"/>
    <w:rsid w:val="00BA4CA1"/>
    <w:rsid w:val="00BB62B5"/>
    <w:rsid w:val="00BE24E6"/>
    <w:rsid w:val="00BE7860"/>
    <w:rsid w:val="00BF1334"/>
    <w:rsid w:val="00C34F2D"/>
    <w:rsid w:val="00C83AC6"/>
    <w:rsid w:val="00CB742A"/>
    <w:rsid w:val="00CC2148"/>
    <w:rsid w:val="00CC4971"/>
    <w:rsid w:val="00CF7EEA"/>
    <w:rsid w:val="00D2784F"/>
    <w:rsid w:val="00D43F3F"/>
    <w:rsid w:val="00D572E5"/>
    <w:rsid w:val="00D84CF4"/>
    <w:rsid w:val="00D96D0E"/>
    <w:rsid w:val="00DE73F6"/>
    <w:rsid w:val="00E77D45"/>
    <w:rsid w:val="00E87474"/>
    <w:rsid w:val="00ED2EDA"/>
    <w:rsid w:val="00F00991"/>
    <w:rsid w:val="00F05935"/>
    <w:rsid w:val="00F179BE"/>
    <w:rsid w:val="00FF40ED"/>
    <w:rsid w:val="0237DD30"/>
    <w:rsid w:val="0FDFACC9"/>
    <w:rsid w:val="13387732"/>
    <w:rsid w:val="190598B4"/>
    <w:rsid w:val="23ECF3E6"/>
    <w:rsid w:val="25373A56"/>
    <w:rsid w:val="2AA1C3D1"/>
    <w:rsid w:val="2ADD6C74"/>
    <w:rsid w:val="34C7092B"/>
    <w:rsid w:val="3A4A7542"/>
    <w:rsid w:val="3E3AEC9D"/>
    <w:rsid w:val="493D9226"/>
    <w:rsid w:val="4E742986"/>
    <w:rsid w:val="50CEDE71"/>
    <w:rsid w:val="64502C44"/>
    <w:rsid w:val="6CF8EB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616E4"/>
  <w15:chartTrackingRefBased/>
  <w15:docId w15:val="{F5372879-6FAB-43C3-9EDB-3780D4AE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C1B74"/>
    <w:pPr>
      <w:ind w:left="720"/>
      <w:contextualSpacing/>
    </w:pPr>
  </w:style>
  <w:style w:type="character" w:styleId="CommentReference">
    <w:name w:val="annotation reference"/>
    <w:basedOn w:val="DefaultParagraphFont"/>
    <w:uiPriority w:val="99"/>
    <w:semiHidden/>
    <w:unhideWhenUsed/>
    <w:rsid w:val="00D43F3F"/>
    <w:rPr>
      <w:sz w:val="16"/>
      <w:szCs w:val="16"/>
    </w:rPr>
  </w:style>
  <w:style w:type="paragraph" w:styleId="CommentText">
    <w:name w:val="annotation text"/>
    <w:basedOn w:val="Normal"/>
    <w:link w:val="CommentTextChar"/>
    <w:uiPriority w:val="99"/>
    <w:unhideWhenUsed/>
    <w:rsid w:val="00D43F3F"/>
    <w:pPr>
      <w:spacing w:line="240" w:lineRule="auto"/>
    </w:pPr>
    <w:rPr>
      <w:sz w:val="20"/>
      <w:szCs w:val="20"/>
    </w:rPr>
  </w:style>
  <w:style w:type="character" w:customStyle="1" w:styleId="CommentTextChar">
    <w:name w:val="Comment Text Char"/>
    <w:basedOn w:val="DefaultParagraphFont"/>
    <w:link w:val="CommentText"/>
    <w:uiPriority w:val="99"/>
    <w:rsid w:val="00D43F3F"/>
    <w:rPr>
      <w:sz w:val="20"/>
      <w:szCs w:val="20"/>
    </w:rPr>
  </w:style>
  <w:style w:type="paragraph" w:styleId="CommentSubject">
    <w:name w:val="annotation subject"/>
    <w:basedOn w:val="CommentText"/>
    <w:next w:val="CommentText"/>
    <w:link w:val="CommentSubjectChar"/>
    <w:uiPriority w:val="99"/>
    <w:semiHidden/>
    <w:unhideWhenUsed/>
    <w:rsid w:val="00D43F3F"/>
    <w:rPr>
      <w:b/>
      <w:bCs/>
    </w:rPr>
  </w:style>
  <w:style w:type="character" w:customStyle="1" w:styleId="CommentSubjectChar">
    <w:name w:val="Comment Subject Char"/>
    <w:basedOn w:val="CommentTextChar"/>
    <w:link w:val="CommentSubject"/>
    <w:uiPriority w:val="99"/>
    <w:semiHidden/>
    <w:rsid w:val="00D43F3F"/>
    <w:rPr>
      <w:b/>
      <w:bCs/>
      <w:sz w:val="20"/>
      <w:szCs w:val="20"/>
    </w:rPr>
  </w:style>
  <w:style w:type="paragraph" w:styleId="Revision">
    <w:name w:val="Revision"/>
    <w:hidden/>
    <w:uiPriority w:val="99"/>
    <w:semiHidden/>
    <w:rsid w:val="0026326C"/>
    <w:pPr>
      <w:spacing w:after="0" w:line="240" w:lineRule="auto"/>
    </w:pPr>
  </w:style>
  <w:style w:type="character" w:customStyle="1" w:styleId="ListParagraphChar">
    <w:name w:val="List Paragraph Char"/>
    <w:basedOn w:val="DefaultParagraphFont"/>
    <w:link w:val="ListParagraph"/>
    <w:uiPriority w:val="34"/>
    <w:locked/>
    <w:rsid w:val="00556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4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F54314A94FEE478946086F7D1D3406" ma:contentTypeVersion="14" ma:contentTypeDescription="Create a new document." ma:contentTypeScope="" ma:versionID="d6371cc7b92c8a36a0524c21373d78ad">
  <xsd:schema xmlns:xsd="http://www.w3.org/2001/XMLSchema" xmlns:xs="http://www.w3.org/2001/XMLSchema" xmlns:p="http://schemas.microsoft.com/office/2006/metadata/properties" xmlns:ns2="d3f3d295-38ae-4668-bc1c-8860a995ebab" xmlns:ns3="43c6f087-b1f9-450c-8d06-f187531b71a7" xmlns:ns4="81c01dc6-2c49-4730-b140-874c95cac377" targetNamespace="http://schemas.microsoft.com/office/2006/metadata/properties" ma:root="true" ma:fieldsID="633ee9aa86d15cd5b55f53e840071575" ns2:_="" ns3:_="" ns4:_="">
    <xsd:import namespace="d3f3d295-38ae-4668-bc1c-8860a995ebab"/>
    <xsd:import namespace="43c6f087-b1f9-450c-8d06-f187531b71a7"/>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3d295-38ae-4668-bc1c-8860a995e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6f087-b1f9-450c-8d06-f187531b71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d0f5aee-3368-4298-85dc-0399bb3af086}" ma:internalName="TaxCatchAll" ma:showField="CatchAllData" ma:web="43c6f087-b1f9-450c-8d06-f187531b7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ECC0EB-9F6B-4A43-B6AF-B917BB594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3d295-38ae-4668-bc1c-8860a995ebab"/>
    <ds:schemaRef ds:uri="43c6f087-b1f9-450c-8d06-f187531b71a7"/>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52504C-F38C-4A0B-84D7-E5AD65C876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Flux, Caitlin</dc:creator>
  <cp:keywords/>
  <dc:description/>
  <cp:lastModifiedBy>Di Bartolo, Sarah</cp:lastModifiedBy>
  <cp:revision>3</cp:revision>
  <dcterms:created xsi:type="dcterms:W3CDTF">2023-03-29T02:41:00Z</dcterms:created>
  <dcterms:modified xsi:type="dcterms:W3CDTF">2023-03-29T04:08:00Z</dcterms:modified>
</cp:coreProperties>
</file>