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320C" w14:textId="77777777" w:rsidR="00672F9B" w:rsidRPr="0085481D" w:rsidRDefault="00672F9B" w:rsidP="00672F9B">
      <w:pPr>
        <w:pStyle w:val="DocumentType-Reference"/>
        <w:rPr>
          <w:rFonts w:ascii="Calibri" w:hAnsi="Calibri"/>
        </w:rPr>
      </w:pPr>
      <w:r>
        <w:rPr>
          <w:rFonts w:ascii="Calibri" w:hAnsi="Calibri"/>
        </w:rPr>
        <w:t>RISK BACKGROUND</w:t>
      </w:r>
    </w:p>
    <w:p w14:paraId="75AAE1CE" w14:textId="7BAF272A" w:rsidR="00440265" w:rsidRPr="00440265" w:rsidRDefault="00594820" w:rsidP="000C513C">
      <w:pPr>
        <w:pStyle w:val="Heading1"/>
        <w:tabs>
          <w:tab w:val="left" w:pos="2880"/>
          <w:tab w:val="center" w:pos="4513"/>
        </w:tabs>
        <w:jc w:val="center"/>
        <w:rPr>
          <w:rFonts w:asciiTheme="minorHAnsi" w:hAnsiTheme="minorHAnsi"/>
          <w:b/>
          <w:color w:val="auto"/>
          <w:sz w:val="40"/>
          <w:szCs w:val="40"/>
        </w:rPr>
      </w:pPr>
      <w:r>
        <w:rPr>
          <w:rFonts w:asciiTheme="minorHAnsi" w:hAnsiTheme="minorHAnsi"/>
          <w:b/>
          <w:color w:val="auto"/>
          <w:sz w:val="40"/>
          <w:szCs w:val="40"/>
        </w:rPr>
        <w:t>Soil</w:t>
      </w:r>
    </w:p>
    <w:p w14:paraId="37A587F5" w14:textId="77777777" w:rsidR="00F93221" w:rsidRPr="00F93221" w:rsidRDefault="00D83BC1" w:rsidP="00672F9B">
      <w:pPr>
        <w:spacing w:before="120"/>
        <w:rPr>
          <w:b/>
          <w:color w:val="0070C0"/>
          <w:sz w:val="28"/>
          <w:szCs w:val="28"/>
        </w:rPr>
      </w:pPr>
      <w:r>
        <w:pict w14:anchorId="0EF099F2">
          <v:rect id="_x0000_i1025" style="width:451.3pt;height:3pt" o:hralign="center" o:hrstd="t" o:hrnoshade="t" o:hr="t" fillcolor="#d5d2ca" stroked="f"/>
        </w:pict>
      </w:r>
      <w:r w:rsidR="00060BE2" w:rsidRPr="008323CB">
        <w:rPr>
          <w:rStyle w:val="Heading1Char"/>
        </w:rPr>
        <w:t>Overview</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6260"/>
      </w:tblGrid>
      <w:tr w:rsidR="00253F03" w14:paraId="4045178B" w14:textId="77777777" w:rsidTr="00115467">
        <w:trPr>
          <w:trHeight w:val="4307"/>
        </w:trPr>
        <w:tc>
          <w:tcPr>
            <w:tcW w:w="3402" w:type="dxa"/>
            <w:tcBorders>
              <w:top w:val="single" w:sz="12" w:space="0" w:color="BFBFBF" w:themeColor="background1" w:themeShade="BF"/>
              <w:bottom w:val="single" w:sz="12" w:space="0" w:color="BFBFBF" w:themeColor="background1" w:themeShade="BF"/>
            </w:tcBorders>
            <w:vAlign w:val="bottom"/>
          </w:tcPr>
          <w:p w14:paraId="645DA009" w14:textId="735E8035" w:rsidR="00FF0810" w:rsidRDefault="00253F03" w:rsidP="002D65BE">
            <w:pPr>
              <w:spacing w:before="120"/>
              <w:rPr>
                <w:sz w:val="18"/>
                <w:szCs w:val="18"/>
                <w:u w:val="single"/>
                <w:lang w:eastAsia="ja-JP"/>
              </w:rPr>
            </w:pPr>
            <w:r w:rsidRPr="00253F03">
              <w:rPr>
                <w:noProof/>
                <w:sz w:val="18"/>
                <w:szCs w:val="18"/>
                <w:u w:val="single"/>
                <w:lang w:eastAsia="en-AU"/>
              </w:rPr>
              <w:drawing>
                <wp:inline distT="0" distB="0" distL="0" distR="0" wp14:anchorId="4D7911A4" wp14:editId="6A1CE661">
                  <wp:extent cx="2529840" cy="2168903"/>
                  <wp:effectExtent l="0" t="0" r="3810" b="3175"/>
                  <wp:docPr id="2" name="Picture 2" descr="C:\Users\carswell tim\AppData\Local\Microsoft\Windows\INetCache\Content.Outlook\H5YJ2UPM\shutterstock_1389469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swell tim\AppData\Local\Microsoft\Windows\INetCache\Content.Outlook\H5YJ2UPM\shutterstock_1389469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570306" cy="2203596"/>
                          </a:xfrm>
                          <a:prstGeom prst="rect">
                            <a:avLst/>
                          </a:prstGeom>
                          <a:noFill/>
                          <a:ln>
                            <a:noFill/>
                          </a:ln>
                        </pic:spPr>
                      </pic:pic>
                    </a:graphicData>
                  </a:graphic>
                </wp:inline>
              </w:drawing>
            </w:r>
          </w:p>
          <w:p w14:paraId="5CF18B58" w14:textId="539C397C" w:rsidR="00FF0810" w:rsidRPr="00253F03" w:rsidRDefault="00FF0810" w:rsidP="002D65BE">
            <w:pPr>
              <w:spacing w:before="120"/>
              <w:rPr>
                <w:sz w:val="18"/>
                <w:szCs w:val="18"/>
                <w:lang w:eastAsia="ja-JP"/>
              </w:rPr>
            </w:pPr>
            <w:r w:rsidRPr="003F2A2E">
              <w:rPr>
                <w:sz w:val="18"/>
                <w:szCs w:val="18"/>
                <w:u w:val="single"/>
                <w:lang w:eastAsia="ja-JP"/>
              </w:rPr>
              <w:t>Image</w:t>
            </w:r>
            <w:r>
              <w:rPr>
                <w:sz w:val="18"/>
                <w:szCs w:val="18"/>
                <w:lang w:eastAsia="ja-JP"/>
              </w:rPr>
              <w:t xml:space="preserve">: </w:t>
            </w:r>
            <w:r w:rsidR="00253F03">
              <w:rPr>
                <w:sz w:val="18"/>
                <w:szCs w:val="18"/>
                <w:lang w:eastAsia="ja-JP"/>
              </w:rPr>
              <w:t xml:space="preserve">: </w:t>
            </w:r>
            <w:hyperlink r:id="rId9" w:history="1">
              <w:r w:rsidR="00253F03" w:rsidRPr="003F2A2E">
                <w:rPr>
                  <w:rStyle w:val="Hyperlink"/>
                  <w:sz w:val="18"/>
                  <w:szCs w:val="18"/>
                  <w:lang w:eastAsia="ja-JP"/>
                </w:rPr>
                <w:t>Shutterstock</w:t>
              </w:r>
            </w:hyperlink>
            <w:r w:rsidR="00253F03">
              <w:rPr>
                <w:sz w:val="18"/>
                <w:szCs w:val="18"/>
                <w:lang w:eastAsia="ja-JP"/>
              </w:rPr>
              <w:t xml:space="preserve"> </w:t>
            </w:r>
            <w:r w:rsidR="00253F03" w:rsidRPr="003F2A2E">
              <w:rPr>
                <w:sz w:val="18"/>
                <w:szCs w:val="18"/>
                <w:lang w:eastAsia="ja-JP"/>
              </w:rPr>
              <w:t>ID:</w:t>
            </w:r>
          </w:p>
        </w:tc>
        <w:tc>
          <w:tcPr>
            <w:tcW w:w="7054" w:type="dxa"/>
            <w:tcBorders>
              <w:top w:val="single" w:sz="12" w:space="0" w:color="BFBFBF" w:themeColor="background1" w:themeShade="BF"/>
              <w:bottom w:val="single" w:sz="12" w:space="0" w:color="BFBFBF" w:themeColor="background1" w:themeShade="BF"/>
            </w:tcBorders>
          </w:tcPr>
          <w:p w14:paraId="5D9AE037" w14:textId="1DB94680" w:rsidR="0005493D" w:rsidRPr="003111BF" w:rsidRDefault="0005493D" w:rsidP="00115467">
            <w:pPr>
              <w:spacing w:before="120"/>
              <w:rPr>
                <w:sz w:val="21"/>
                <w:szCs w:val="21"/>
              </w:rPr>
            </w:pPr>
            <w:r w:rsidRPr="003111BF">
              <w:rPr>
                <w:sz w:val="21"/>
                <w:szCs w:val="21"/>
              </w:rPr>
              <w:t>Soil is defined as unconsolidated material on the immediate surface (approximately top 2 metres) of the earth. Soils are aggregates of minerals, water, decomposed animal and plant material, and microorganisms.</w:t>
            </w:r>
          </w:p>
          <w:p w14:paraId="54A66E93" w14:textId="3BB552ED" w:rsidR="009836CE" w:rsidRPr="003111BF" w:rsidRDefault="0005493D" w:rsidP="00115467">
            <w:pPr>
              <w:spacing w:before="120"/>
              <w:rPr>
                <w:sz w:val="21"/>
                <w:szCs w:val="21"/>
                <w:lang w:eastAsia="ja-JP"/>
              </w:rPr>
            </w:pPr>
            <w:r w:rsidRPr="003111BF">
              <w:rPr>
                <w:sz w:val="21"/>
                <w:szCs w:val="21"/>
              </w:rPr>
              <w:t xml:space="preserve">Soil </w:t>
            </w:r>
            <w:r w:rsidR="00EA74AE" w:rsidRPr="003111BF">
              <w:rPr>
                <w:sz w:val="21"/>
                <w:szCs w:val="21"/>
                <w:lang w:eastAsia="ja-JP"/>
              </w:rPr>
              <w:t>require</w:t>
            </w:r>
            <w:r w:rsidR="00FF0810" w:rsidRPr="003111BF">
              <w:rPr>
                <w:sz w:val="21"/>
                <w:szCs w:val="21"/>
                <w:lang w:eastAsia="ja-JP"/>
              </w:rPr>
              <w:t>s an</w:t>
            </w:r>
            <w:r w:rsidR="00EA74AE" w:rsidRPr="003111BF">
              <w:rPr>
                <w:sz w:val="21"/>
                <w:szCs w:val="21"/>
                <w:lang w:eastAsia="ja-JP"/>
              </w:rPr>
              <w:t xml:space="preserve"> import permit</w:t>
            </w:r>
            <w:r w:rsidR="00FF0810" w:rsidRPr="003111BF">
              <w:rPr>
                <w:sz w:val="21"/>
                <w:szCs w:val="21"/>
                <w:lang w:eastAsia="ja-JP"/>
              </w:rPr>
              <w:t xml:space="preserve"> in most instances</w:t>
            </w:r>
            <w:r w:rsidR="00EA74AE" w:rsidRPr="003111BF">
              <w:rPr>
                <w:sz w:val="21"/>
                <w:szCs w:val="21"/>
                <w:lang w:eastAsia="ja-JP"/>
              </w:rPr>
              <w:t xml:space="preserve"> </w:t>
            </w:r>
            <w:r w:rsidR="00DA7D33" w:rsidRPr="003111BF">
              <w:rPr>
                <w:sz w:val="21"/>
                <w:szCs w:val="21"/>
                <w:lang w:eastAsia="ja-JP"/>
              </w:rPr>
              <w:t xml:space="preserve">and the </w:t>
            </w:r>
            <w:r w:rsidR="00FF0810" w:rsidRPr="003111BF">
              <w:rPr>
                <w:sz w:val="21"/>
                <w:szCs w:val="21"/>
                <w:lang w:eastAsia="ja-JP"/>
              </w:rPr>
              <w:t>conditions placed on them depend on different factors including</w:t>
            </w:r>
            <w:r w:rsidR="00EA74AE" w:rsidRPr="003111BF">
              <w:rPr>
                <w:sz w:val="21"/>
                <w:szCs w:val="21"/>
                <w:lang w:eastAsia="ja-JP"/>
              </w:rPr>
              <w:t>:</w:t>
            </w:r>
          </w:p>
          <w:p w14:paraId="28D6EAFA" w14:textId="68B46A6B" w:rsidR="0005493D" w:rsidRPr="003111BF" w:rsidRDefault="0005493D" w:rsidP="00E73CD5">
            <w:pPr>
              <w:pStyle w:val="ListParagraph"/>
              <w:numPr>
                <w:ilvl w:val="0"/>
                <w:numId w:val="5"/>
              </w:numPr>
              <w:spacing w:before="120"/>
              <w:rPr>
                <w:sz w:val="21"/>
                <w:szCs w:val="21"/>
                <w:lang w:eastAsia="ja-JP"/>
              </w:rPr>
            </w:pPr>
            <w:r w:rsidRPr="003111BF">
              <w:rPr>
                <w:sz w:val="21"/>
                <w:szCs w:val="21"/>
                <w:lang w:eastAsia="ja-JP"/>
              </w:rPr>
              <w:t>the country of origin of the soil</w:t>
            </w:r>
          </w:p>
          <w:p w14:paraId="6AC15F02" w14:textId="67D2555E" w:rsidR="0005493D" w:rsidRPr="003111BF" w:rsidRDefault="0005493D" w:rsidP="00E73CD5">
            <w:pPr>
              <w:pStyle w:val="ListParagraph"/>
              <w:numPr>
                <w:ilvl w:val="0"/>
                <w:numId w:val="5"/>
              </w:numPr>
              <w:spacing w:before="120"/>
              <w:rPr>
                <w:sz w:val="21"/>
                <w:szCs w:val="21"/>
                <w:lang w:eastAsia="ja-JP"/>
              </w:rPr>
            </w:pPr>
            <w:r w:rsidRPr="003111BF">
              <w:rPr>
                <w:sz w:val="21"/>
                <w:szCs w:val="21"/>
                <w:lang w:eastAsia="ja-JP"/>
              </w:rPr>
              <w:t xml:space="preserve">the location and description of </w:t>
            </w:r>
            <w:r w:rsidR="00225A98">
              <w:rPr>
                <w:sz w:val="21"/>
                <w:szCs w:val="21"/>
                <w:lang w:eastAsia="ja-JP"/>
              </w:rPr>
              <w:t>w</w:t>
            </w:r>
            <w:r w:rsidRPr="003111BF">
              <w:rPr>
                <w:sz w:val="21"/>
                <w:szCs w:val="21"/>
                <w:lang w:eastAsia="ja-JP"/>
              </w:rPr>
              <w:t>here the soil was collected</w:t>
            </w:r>
          </w:p>
          <w:p w14:paraId="0EA51932" w14:textId="0B21F22F" w:rsidR="00FF0810" w:rsidRPr="003111BF" w:rsidRDefault="001B749F" w:rsidP="00E73CD5">
            <w:pPr>
              <w:pStyle w:val="ListParagraph"/>
              <w:numPr>
                <w:ilvl w:val="0"/>
                <w:numId w:val="5"/>
              </w:numPr>
              <w:spacing w:before="120"/>
              <w:rPr>
                <w:b/>
                <w:sz w:val="21"/>
                <w:szCs w:val="21"/>
                <w:lang w:eastAsia="ja-JP"/>
              </w:rPr>
            </w:pPr>
            <w:r w:rsidRPr="003111BF">
              <w:rPr>
                <w:sz w:val="21"/>
                <w:szCs w:val="21"/>
                <w:lang w:eastAsia="ja-JP"/>
              </w:rPr>
              <w:t xml:space="preserve">end </w:t>
            </w:r>
            <w:r w:rsidR="00FF0810" w:rsidRPr="003111BF">
              <w:rPr>
                <w:sz w:val="21"/>
                <w:szCs w:val="21"/>
                <w:lang w:eastAsia="ja-JP"/>
              </w:rPr>
              <w:t>use (</w:t>
            </w:r>
            <w:r w:rsidR="0005493D" w:rsidRPr="003111BF">
              <w:rPr>
                <w:i/>
                <w:sz w:val="21"/>
                <w:szCs w:val="21"/>
                <w:lang w:eastAsia="ja-JP"/>
              </w:rPr>
              <w:t>in vivo</w:t>
            </w:r>
            <w:r w:rsidR="000C1727" w:rsidRPr="003111BF">
              <w:rPr>
                <w:sz w:val="21"/>
                <w:szCs w:val="21"/>
                <w:lang w:eastAsia="ja-JP"/>
              </w:rPr>
              <w:t xml:space="preserve"> in laboratory organisms</w:t>
            </w:r>
            <w:r w:rsidR="00FF0810" w:rsidRPr="003111BF">
              <w:rPr>
                <w:sz w:val="21"/>
                <w:szCs w:val="21"/>
                <w:lang w:eastAsia="ja-JP"/>
              </w:rPr>
              <w:t xml:space="preserve">, </w:t>
            </w:r>
            <w:r w:rsidR="0005493D" w:rsidRPr="003111BF">
              <w:rPr>
                <w:i/>
                <w:sz w:val="21"/>
                <w:szCs w:val="21"/>
                <w:lang w:eastAsia="ja-JP"/>
              </w:rPr>
              <w:t>in vitro</w:t>
            </w:r>
            <w:r w:rsidR="00FF0810" w:rsidRPr="003111BF">
              <w:rPr>
                <w:sz w:val="21"/>
                <w:szCs w:val="21"/>
                <w:lang w:eastAsia="ja-JP"/>
              </w:rPr>
              <w:t>)</w:t>
            </w:r>
            <w:r w:rsidR="0005493D" w:rsidRPr="003111BF">
              <w:rPr>
                <w:sz w:val="21"/>
                <w:szCs w:val="21"/>
                <w:lang w:eastAsia="ja-JP"/>
              </w:rPr>
              <w:t xml:space="preserve"> and whether the soil will remain in biosecurity</w:t>
            </w:r>
          </w:p>
          <w:p w14:paraId="6EC4492F" w14:textId="67BFA3A4" w:rsidR="00FF0810" w:rsidRPr="003111BF" w:rsidRDefault="00C33F62" w:rsidP="00E73CD5">
            <w:pPr>
              <w:pStyle w:val="ListParagraph"/>
              <w:numPr>
                <w:ilvl w:val="0"/>
                <w:numId w:val="5"/>
              </w:numPr>
              <w:spacing w:before="120"/>
              <w:rPr>
                <w:b/>
                <w:sz w:val="21"/>
                <w:szCs w:val="21"/>
                <w:lang w:eastAsia="ja-JP"/>
              </w:rPr>
            </w:pPr>
            <w:r w:rsidRPr="003111BF">
              <w:rPr>
                <w:sz w:val="21"/>
                <w:szCs w:val="21"/>
                <w:lang w:eastAsia="ja-JP"/>
              </w:rPr>
              <w:t>the size of</w:t>
            </w:r>
            <w:r w:rsidR="001B749F" w:rsidRPr="003111BF">
              <w:rPr>
                <w:sz w:val="21"/>
                <w:szCs w:val="21"/>
                <w:lang w:eastAsia="ja-JP"/>
              </w:rPr>
              <w:t xml:space="preserve"> </w:t>
            </w:r>
            <w:r w:rsidR="00FF0810" w:rsidRPr="003111BF">
              <w:rPr>
                <w:sz w:val="21"/>
                <w:szCs w:val="21"/>
                <w:lang w:eastAsia="ja-JP"/>
              </w:rPr>
              <w:t xml:space="preserve">each </w:t>
            </w:r>
            <w:r w:rsidR="001C1D1B" w:rsidRPr="003111BF">
              <w:rPr>
                <w:sz w:val="21"/>
                <w:szCs w:val="21"/>
                <w:lang w:eastAsia="ja-JP"/>
              </w:rPr>
              <w:t xml:space="preserve">individually </w:t>
            </w:r>
            <w:r w:rsidR="00FF0810" w:rsidRPr="003111BF">
              <w:rPr>
                <w:sz w:val="21"/>
                <w:szCs w:val="21"/>
                <w:lang w:eastAsia="ja-JP"/>
              </w:rPr>
              <w:t>packaged unit</w:t>
            </w:r>
            <w:r w:rsidR="001C00AF" w:rsidRPr="003111BF">
              <w:rPr>
                <w:sz w:val="21"/>
                <w:szCs w:val="21"/>
                <w:lang w:eastAsia="ja-JP"/>
              </w:rPr>
              <w:t>.</w:t>
            </w:r>
          </w:p>
          <w:p w14:paraId="6EDD7101" w14:textId="3265F9D1" w:rsidR="00A514D6" w:rsidRPr="002E6793" w:rsidRDefault="009907BD" w:rsidP="00C134A0">
            <w:pPr>
              <w:spacing w:before="120"/>
            </w:pPr>
            <w:r w:rsidRPr="003111BF">
              <w:rPr>
                <w:rFonts w:ascii="Calibri" w:eastAsiaTheme="minorHAnsi" w:hAnsi="Calibri" w:cs="Calibri"/>
                <w:color w:val="000000"/>
                <w:sz w:val="21"/>
                <w:szCs w:val="21"/>
              </w:rPr>
              <w:t>Importers and department</w:t>
            </w:r>
            <w:r w:rsidR="00C134A0" w:rsidRPr="003111BF">
              <w:rPr>
                <w:rFonts w:ascii="Calibri" w:eastAsiaTheme="minorHAnsi" w:hAnsi="Calibri" w:cs="Calibri"/>
                <w:color w:val="000000"/>
                <w:sz w:val="21"/>
                <w:szCs w:val="21"/>
              </w:rPr>
              <w:t>al</w:t>
            </w:r>
            <w:r w:rsidRPr="003111BF">
              <w:rPr>
                <w:rFonts w:ascii="Calibri" w:eastAsiaTheme="minorHAnsi" w:hAnsi="Calibri" w:cs="Calibri"/>
                <w:color w:val="000000"/>
                <w:sz w:val="21"/>
                <w:szCs w:val="21"/>
              </w:rPr>
              <w:t xml:space="preserve"> staff should always refer to BICON for the current conditions.</w:t>
            </w:r>
          </w:p>
        </w:tc>
      </w:tr>
    </w:tbl>
    <w:p w14:paraId="35A503CB" w14:textId="1458AC4E" w:rsidR="006F63C3" w:rsidRDefault="001D737D" w:rsidP="00E831AA">
      <w:pPr>
        <w:pStyle w:val="Heading1"/>
      </w:pPr>
      <w:r>
        <w:t>Key risks</w:t>
      </w:r>
    </w:p>
    <w:p w14:paraId="168F437D" w14:textId="4CB16ED1" w:rsidR="00E831AA" w:rsidRPr="003111BF" w:rsidRDefault="00596512" w:rsidP="00546844">
      <w:pPr>
        <w:spacing w:before="0" w:after="0"/>
        <w:rPr>
          <w:rFonts w:eastAsiaTheme="minorHAnsi" w:cs="Calibri"/>
          <w:color w:val="000000"/>
          <w:sz w:val="21"/>
          <w:szCs w:val="21"/>
        </w:rPr>
      </w:pPr>
      <w:r w:rsidRPr="003111BF">
        <w:rPr>
          <w:color w:val="000000"/>
          <w:sz w:val="21"/>
          <w:szCs w:val="21"/>
          <w:shd w:val="clear" w:color="auto" w:fill="FFFFFF"/>
        </w:rPr>
        <w:t xml:space="preserve">Imported </w:t>
      </w:r>
      <w:r w:rsidR="00C33F62" w:rsidRPr="003111BF">
        <w:rPr>
          <w:color w:val="000000"/>
          <w:sz w:val="21"/>
          <w:szCs w:val="21"/>
          <w:shd w:val="clear" w:color="auto" w:fill="FFFFFF"/>
        </w:rPr>
        <w:t>soil</w:t>
      </w:r>
      <w:r w:rsidRPr="003111BF">
        <w:rPr>
          <w:color w:val="000000"/>
          <w:sz w:val="21"/>
          <w:szCs w:val="21"/>
          <w:shd w:val="clear" w:color="auto" w:fill="FFFFFF"/>
        </w:rPr>
        <w:t xml:space="preserve"> presents a significant biosecurity risk to Australia</w:t>
      </w:r>
      <w:r w:rsidR="00C33F62" w:rsidRPr="003111BF">
        <w:rPr>
          <w:color w:val="000000"/>
          <w:sz w:val="21"/>
          <w:szCs w:val="21"/>
          <w:shd w:val="clear" w:color="auto" w:fill="FFFFFF"/>
        </w:rPr>
        <w:t xml:space="preserve"> because it </w:t>
      </w:r>
      <w:r w:rsidR="00A87B7F" w:rsidRPr="003111BF">
        <w:rPr>
          <w:color w:val="000000"/>
          <w:sz w:val="21"/>
          <w:szCs w:val="21"/>
          <w:shd w:val="clear" w:color="auto" w:fill="FFFFFF"/>
        </w:rPr>
        <w:t xml:space="preserve">could be </w:t>
      </w:r>
      <w:r w:rsidRPr="003111BF">
        <w:rPr>
          <w:color w:val="000000"/>
          <w:sz w:val="21"/>
          <w:szCs w:val="21"/>
          <w:shd w:val="clear" w:color="auto" w:fill="FFFFFF"/>
        </w:rPr>
        <w:t xml:space="preserve">contaminated with </w:t>
      </w:r>
      <w:r w:rsidR="001C00AF" w:rsidRPr="003111BF">
        <w:rPr>
          <w:sz w:val="21"/>
          <w:szCs w:val="21"/>
        </w:rPr>
        <w:t xml:space="preserve">a range of microorganisms and materials from avian, terrestrial (including humans) and aquatic animals, such as parts of dead animals, faeces, secretions and excretions. </w:t>
      </w:r>
      <w:r w:rsidR="00E52686">
        <w:rPr>
          <w:sz w:val="21"/>
          <w:szCs w:val="21"/>
        </w:rPr>
        <w:t>I</w:t>
      </w:r>
      <w:r w:rsidR="001C00AF" w:rsidRPr="003111BF">
        <w:rPr>
          <w:sz w:val="21"/>
          <w:szCs w:val="21"/>
        </w:rPr>
        <w:t>t may contain pathogens of animal biosecurity concern</w:t>
      </w:r>
      <w:r w:rsidR="00E52686">
        <w:rPr>
          <w:sz w:val="21"/>
          <w:szCs w:val="21"/>
        </w:rPr>
        <w:t xml:space="preserve"> </w:t>
      </w:r>
      <w:r w:rsidR="00225A98">
        <w:rPr>
          <w:color w:val="000000"/>
          <w:sz w:val="21"/>
          <w:szCs w:val="21"/>
          <w:shd w:val="clear" w:color="auto" w:fill="FFFFFF"/>
        </w:rPr>
        <w:t xml:space="preserve">that </w:t>
      </w:r>
      <w:r w:rsidR="00225A98">
        <w:rPr>
          <w:sz w:val="21"/>
          <w:szCs w:val="21"/>
          <w:lang w:eastAsia="ja-JP"/>
        </w:rPr>
        <w:t>could</w:t>
      </w:r>
      <w:r w:rsidR="00E52686">
        <w:rPr>
          <w:sz w:val="21"/>
          <w:szCs w:val="21"/>
          <w:lang w:eastAsia="ja-JP"/>
        </w:rPr>
        <w:t xml:space="preserve"> </w:t>
      </w:r>
      <w:r w:rsidR="00225A98">
        <w:rPr>
          <w:sz w:val="21"/>
          <w:szCs w:val="21"/>
          <w:lang w:eastAsia="ja-JP"/>
        </w:rPr>
        <w:t>af</w:t>
      </w:r>
      <w:r w:rsidRPr="003111BF">
        <w:rPr>
          <w:sz w:val="21"/>
          <w:szCs w:val="21"/>
          <w:lang w:eastAsia="ja-JP"/>
        </w:rPr>
        <w:t>fect animals in Australia</w:t>
      </w:r>
      <w:r w:rsidR="00C134A0" w:rsidRPr="003111BF">
        <w:rPr>
          <w:sz w:val="21"/>
          <w:szCs w:val="21"/>
          <w:lang w:eastAsia="ja-JP"/>
        </w:rPr>
        <w:t xml:space="preserve">, </w:t>
      </w:r>
      <w:r w:rsidR="00225A98">
        <w:rPr>
          <w:sz w:val="21"/>
          <w:szCs w:val="21"/>
          <w:lang w:eastAsia="ja-JP"/>
        </w:rPr>
        <w:t>with</w:t>
      </w:r>
      <w:r w:rsidR="00225A98" w:rsidRPr="003111BF">
        <w:rPr>
          <w:sz w:val="21"/>
          <w:szCs w:val="21"/>
          <w:lang w:eastAsia="ja-JP"/>
        </w:rPr>
        <w:t xml:space="preserve"> </w:t>
      </w:r>
      <w:r w:rsidR="00C134A0" w:rsidRPr="003111BF">
        <w:rPr>
          <w:sz w:val="21"/>
          <w:szCs w:val="21"/>
          <w:lang w:eastAsia="ja-JP"/>
        </w:rPr>
        <w:t xml:space="preserve">a </w:t>
      </w:r>
      <w:r w:rsidR="00183DEB" w:rsidRPr="003111BF">
        <w:rPr>
          <w:rFonts w:eastAsiaTheme="minorHAnsi" w:cs="Calibri"/>
          <w:color w:val="000000"/>
          <w:sz w:val="21"/>
          <w:szCs w:val="21"/>
        </w:rPr>
        <w:t xml:space="preserve">number </w:t>
      </w:r>
      <w:r w:rsidR="00225A98">
        <w:rPr>
          <w:rFonts w:eastAsiaTheme="minorHAnsi" w:cs="Calibri"/>
          <w:color w:val="000000"/>
          <w:sz w:val="21"/>
          <w:szCs w:val="21"/>
        </w:rPr>
        <w:t>being</w:t>
      </w:r>
      <w:r w:rsidR="00C134A0" w:rsidRPr="003111BF">
        <w:rPr>
          <w:rFonts w:eastAsiaTheme="minorHAnsi" w:cs="Calibri"/>
          <w:color w:val="000000"/>
          <w:sz w:val="21"/>
          <w:szCs w:val="21"/>
        </w:rPr>
        <w:t xml:space="preserve"> zoonotic</w:t>
      </w:r>
      <w:r w:rsidR="00183DEB" w:rsidRPr="003111BF">
        <w:rPr>
          <w:rFonts w:eastAsiaTheme="minorHAnsi" w:cs="Calibri"/>
          <w:color w:val="000000"/>
          <w:sz w:val="21"/>
          <w:szCs w:val="21"/>
        </w:rPr>
        <w:t xml:space="preserve"> </w:t>
      </w:r>
      <w:r w:rsidR="00C134A0" w:rsidRPr="003111BF">
        <w:rPr>
          <w:rFonts w:eastAsiaTheme="minorHAnsi" w:cs="Calibri"/>
          <w:color w:val="000000"/>
          <w:sz w:val="21"/>
          <w:szCs w:val="21"/>
        </w:rPr>
        <w:t xml:space="preserve">(i.e. have the potential to infect </w:t>
      </w:r>
      <w:r w:rsidR="00183DEB" w:rsidRPr="003111BF">
        <w:rPr>
          <w:rFonts w:eastAsiaTheme="minorHAnsi" w:cs="Calibri"/>
          <w:color w:val="000000"/>
          <w:sz w:val="21"/>
          <w:szCs w:val="21"/>
        </w:rPr>
        <w:t>human</w:t>
      </w:r>
      <w:r w:rsidR="00C134A0" w:rsidRPr="003111BF">
        <w:rPr>
          <w:rFonts w:eastAsiaTheme="minorHAnsi" w:cs="Calibri"/>
          <w:color w:val="000000"/>
          <w:sz w:val="21"/>
          <w:szCs w:val="21"/>
        </w:rPr>
        <w:t>s)</w:t>
      </w:r>
      <w:r w:rsidR="00183DEB" w:rsidRPr="003111BF">
        <w:rPr>
          <w:rFonts w:eastAsiaTheme="minorHAnsi" w:cs="Calibri"/>
          <w:color w:val="000000"/>
          <w:sz w:val="21"/>
          <w:szCs w:val="21"/>
        </w:rPr>
        <w:t>.</w:t>
      </w:r>
    </w:p>
    <w:p w14:paraId="111CC37E" w14:textId="77777777" w:rsidR="00402134" w:rsidRPr="003111BF" w:rsidRDefault="00402134" w:rsidP="00546844">
      <w:pPr>
        <w:spacing w:before="0" w:after="0"/>
        <w:rPr>
          <w:caps/>
          <w:sz w:val="21"/>
          <w:szCs w:val="21"/>
          <w:lang w:eastAsia="ja-JP"/>
        </w:rPr>
      </w:pPr>
    </w:p>
    <w:p w14:paraId="17846B47" w14:textId="342E1AC3" w:rsidR="00596512" w:rsidRPr="003111BF" w:rsidRDefault="00596512" w:rsidP="00546844">
      <w:pPr>
        <w:pStyle w:val="Default"/>
        <w:rPr>
          <w:rFonts w:asciiTheme="minorHAnsi" w:hAnsiTheme="minorHAnsi"/>
          <w:iCs/>
          <w:sz w:val="21"/>
          <w:szCs w:val="21"/>
        </w:rPr>
      </w:pPr>
      <w:r w:rsidRPr="003111BF">
        <w:rPr>
          <w:rFonts w:asciiTheme="minorHAnsi" w:hAnsiTheme="minorHAnsi"/>
          <w:sz w:val="21"/>
          <w:szCs w:val="21"/>
        </w:rPr>
        <w:t xml:space="preserve">Some examples of </w:t>
      </w:r>
      <w:r w:rsidR="00C134A0" w:rsidRPr="003111BF">
        <w:rPr>
          <w:rFonts w:asciiTheme="minorHAnsi" w:hAnsiTheme="minorHAnsi"/>
          <w:sz w:val="21"/>
          <w:szCs w:val="21"/>
        </w:rPr>
        <w:t xml:space="preserve">the </w:t>
      </w:r>
      <w:r w:rsidRPr="003111BF">
        <w:rPr>
          <w:rFonts w:asciiTheme="minorHAnsi" w:hAnsiTheme="minorHAnsi"/>
          <w:sz w:val="21"/>
          <w:szCs w:val="21"/>
        </w:rPr>
        <w:t xml:space="preserve">exotic diseases that could be introduced into Australia by </w:t>
      </w:r>
      <w:r w:rsidR="00C33F62" w:rsidRPr="003111BF">
        <w:rPr>
          <w:rFonts w:asciiTheme="minorHAnsi" w:hAnsiTheme="minorHAnsi"/>
          <w:sz w:val="21"/>
          <w:szCs w:val="21"/>
        </w:rPr>
        <w:t>soil</w:t>
      </w:r>
      <w:r w:rsidRPr="003111BF">
        <w:rPr>
          <w:rFonts w:asciiTheme="minorHAnsi" w:hAnsiTheme="minorHAnsi"/>
          <w:sz w:val="21"/>
          <w:szCs w:val="21"/>
        </w:rPr>
        <w:t xml:space="preserve"> include: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tblGrid>
      <w:tr w:rsidR="00827E54" w:rsidRPr="003111BF" w14:paraId="629D6A5B" w14:textId="77777777" w:rsidTr="009A13F2">
        <w:trPr>
          <w:trHeight w:val="498"/>
        </w:trPr>
        <w:tc>
          <w:tcPr>
            <w:tcW w:w="3510" w:type="dxa"/>
          </w:tcPr>
          <w:p w14:paraId="7AE56A8B" w14:textId="77777777" w:rsidR="00827E54" w:rsidRPr="003111BF" w:rsidRDefault="00D83BC1" w:rsidP="00546844">
            <w:pPr>
              <w:pStyle w:val="Default"/>
              <w:rPr>
                <w:rFonts w:asciiTheme="minorHAnsi" w:hAnsiTheme="minorHAnsi"/>
                <w:sz w:val="21"/>
                <w:szCs w:val="21"/>
              </w:rPr>
            </w:pPr>
            <w:hyperlink r:id="rId10" w:history="1">
              <w:r w:rsidR="00827E54" w:rsidRPr="003111BF">
                <w:rPr>
                  <w:rStyle w:val="Hyperlink"/>
                  <w:rFonts w:asciiTheme="minorHAnsi" w:hAnsiTheme="minorHAnsi"/>
                  <w:i/>
                  <w:iCs/>
                  <w:sz w:val="21"/>
                  <w:szCs w:val="21"/>
                </w:rPr>
                <w:t>Foot-and-mouth disease</w:t>
              </w:r>
            </w:hyperlink>
          </w:p>
          <w:p w14:paraId="4E354637" w14:textId="77777777" w:rsidR="00827E54" w:rsidRPr="003111BF" w:rsidRDefault="00D83BC1" w:rsidP="00546844">
            <w:pPr>
              <w:pStyle w:val="Default"/>
              <w:rPr>
                <w:rFonts w:asciiTheme="minorHAnsi" w:hAnsiTheme="minorHAnsi"/>
                <w:i/>
                <w:iCs/>
                <w:sz w:val="21"/>
                <w:szCs w:val="21"/>
              </w:rPr>
            </w:pPr>
            <w:hyperlink r:id="rId11" w:history="1">
              <w:r w:rsidR="00827E54" w:rsidRPr="003111BF">
                <w:rPr>
                  <w:rStyle w:val="Hyperlink"/>
                  <w:rFonts w:asciiTheme="minorHAnsi" w:hAnsiTheme="minorHAnsi"/>
                  <w:i/>
                  <w:iCs/>
                  <w:sz w:val="21"/>
                  <w:szCs w:val="21"/>
                </w:rPr>
                <w:t>African swine fever</w:t>
              </w:r>
            </w:hyperlink>
          </w:p>
          <w:p w14:paraId="6CD37F39" w14:textId="77777777" w:rsidR="00827E54" w:rsidRPr="003111BF" w:rsidRDefault="00D83BC1" w:rsidP="00546844">
            <w:pPr>
              <w:pStyle w:val="Default"/>
              <w:rPr>
                <w:rFonts w:asciiTheme="minorHAnsi" w:hAnsiTheme="minorHAnsi"/>
                <w:sz w:val="21"/>
                <w:szCs w:val="21"/>
              </w:rPr>
            </w:pPr>
            <w:hyperlink r:id="rId12" w:history="1">
              <w:r w:rsidR="00827E54" w:rsidRPr="003111BF">
                <w:rPr>
                  <w:rStyle w:val="Hyperlink"/>
                  <w:rFonts w:asciiTheme="minorHAnsi" w:hAnsiTheme="minorHAnsi"/>
                  <w:i/>
                  <w:iCs/>
                  <w:sz w:val="21"/>
                  <w:szCs w:val="21"/>
                </w:rPr>
                <w:t>Lumpy skin disease</w:t>
              </w:r>
            </w:hyperlink>
          </w:p>
        </w:tc>
      </w:tr>
    </w:tbl>
    <w:p w14:paraId="4C06221D" w14:textId="77777777" w:rsidR="00596512" w:rsidRPr="003111BF" w:rsidRDefault="00596512" w:rsidP="003111BF">
      <w:pPr>
        <w:spacing w:before="0" w:after="0"/>
        <w:rPr>
          <w:sz w:val="21"/>
          <w:szCs w:val="21"/>
        </w:rPr>
      </w:pPr>
    </w:p>
    <w:p w14:paraId="0A837AAF" w14:textId="6F9AAB14" w:rsidR="001C00AF" w:rsidRPr="003111BF" w:rsidRDefault="003111BF" w:rsidP="003111BF">
      <w:pPr>
        <w:spacing w:before="0" w:after="0"/>
        <w:rPr>
          <w:sz w:val="21"/>
          <w:szCs w:val="21"/>
        </w:rPr>
      </w:pPr>
      <w:r w:rsidRPr="003111BF">
        <w:rPr>
          <w:sz w:val="21"/>
          <w:szCs w:val="21"/>
        </w:rPr>
        <w:t xml:space="preserve">Foot-and-mouth disease is considered one of Australia’s biggest biosecurity risks. An uncontrolled outbreak could lead to beef, lamb and pork export markets being closed for more than a year, and control costs have been estimated at more than 50 billion dollars over 10 years. </w:t>
      </w:r>
      <w:r w:rsidR="001C00AF" w:rsidRPr="003111BF">
        <w:rPr>
          <w:sz w:val="21"/>
          <w:szCs w:val="21"/>
        </w:rPr>
        <w:t>It is important that soil samples being imported for in vivo work or in vitro work involving microbiological culture or virus isolation are only sourced from countries with an acceptable disease status (i.e. do not contain pathogens of highest animal biosecurity concern or transmissible spongiform encephalopathies) unless otherwise approved by the department</w:t>
      </w:r>
      <w:r w:rsidRPr="003111BF">
        <w:rPr>
          <w:sz w:val="21"/>
          <w:szCs w:val="21"/>
        </w:rPr>
        <w:t>.</w:t>
      </w:r>
    </w:p>
    <w:p w14:paraId="71063C93" w14:textId="77777777" w:rsidR="001C00AF" w:rsidRPr="003111BF" w:rsidRDefault="001C00AF" w:rsidP="00546844">
      <w:pPr>
        <w:spacing w:before="0" w:after="0"/>
        <w:rPr>
          <w:sz w:val="21"/>
          <w:szCs w:val="21"/>
        </w:rPr>
      </w:pPr>
    </w:p>
    <w:p w14:paraId="40D03CF5" w14:textId="0C5B874B" w:rsidR="001C00AF" w:rsidRPr="003111BF" w:rsidRDefault="001C00AF" w:rsidP="00546844">
      <w:pPr>
        <w:spacing w:before="0" w:after="0"/>
        <w:rPr>
          <w:sz w:val="21"/>
          <w:szCs w:val="21"/>
          <w:lang w:val="en"/>
        </w:rPr>
      </w:pPr>
      <w:r w:rsidRPr="003111BF">
        <w:rPr>
          <w:sz w:val="21"/>
          <w:szCs w:val="21"/>
        </w:rPr>
        <w:t>Pathogens of plant biosecurity concern may also be present in soil samples</w:t>
      </w:r>
      <w:r w:rsidR="00225A98">
        <w:rPr>
          <w:sz w:val="21"/>
          <w:szCs w:val="21"/>
        </w:rPr>
        <w:t xml:space="preserve"> and</w:t>
      </w:r>
      <w:r w:rsidRPr="003111BF">
        <w:rPr>
          <w:sz w:val="21"/>
          <w:szCs w:val="21"/>
        </w:rPr>
        <w:t xml:space="preserve"> advice should also be sought on the plant biosecurity risks.</w:t>
      </w:r>
    </w:p>
    <w:p w14:paraId="0FBF5042" w14:textId="77777777" w:rsidR="001C00AF" w:rsidRPr="003111BF" w:rsidRDefault="001C00AF" w:rsidP="00546844">
      <w:pPr>
        <w:spacing w:before="0" w:after="0"/>
        <w:rPr>
          <w:sz w:val="21"/>
          <w:szCs w:val="21"/>
          <w:lang w:val="en"/>
        </w:rPr>
      </w:pPr>
    </w:p>
    <w:p w14:paraId="251D752D" w14:textId="5A7E6AA8" w:rsidR="000E0568" w:rsidRPr="003111BF" w:rsidRDefault="002005D1" w:rsidP="00546844">
      <w:pPr>
        <w:spacing w:before="0" w:after="0"/>
        <w:rPr>
          <w:sz w:val="21"/>
          <w:szCs w:val="21"/>
        </w:rPr>
      </w:pPr>
      <w:r w:rsidRPr="003111BF">
        <w:rPr>
          <w:sz w:val="21"/>
          <w:szCs w:val="21"/>
        </w:rPr>
        <w:t xml:space="preserve">The department uses multiple risk management measures to ensure that any biosecurity risks associated with imported goods </w:t>
      </w:r>
      <w:r w:rsidR="0038725A" w:rsidRPr="003111BF">
        <w:rPr>
          <w:sz w:val="21"/>
          <w:szCs w:val="21"/>
        </w:rPr>
        <w:t xml:space="preserve">are adequately managed to </w:t>
      </w:r>
      <w:r w:rsidRPr="003111BF">
        <w:rPr>
          <w:sz w:val="21"/>
          <w:szCs w:val="21"/>
        </w:rPr>
        <w:t>meet Australia’s Appropriate Level of Protection (ALOP), which is aimed at reducing the risks to a very low level, but not to zero. These measures may include pre-border, border and post-border import conditions, all of which are listed on the relevant permit</w:t>
      </w:r>
      <w:r w:rsidR="002D15C7" w:rsidRPr="003111BF">
        <w:rPr>
          <w:i/>
          <w:sz w:val="21"/>
          <w:szCs w:val="21"/>
        </w:rPr>
        <w:t>.</w:t>
      </w:r>
      <w:r w:rsidR="00D2595E">
        <w:rPr>
          <w:i/>
          <w:sz w:val="21"/>
          <w:szCs w:val="21"/>
        </w:rPr>
        <w:t xml:space="preserve"> </w:t>
      </w:r>
      <w:r w:rsidR="003111BF">
        <w:rPr>
          <w:sz w:val="21"/>
          <w:szCs w:val="21"/>
        </w:rPr>
        <w:t>A</w:t>
      </w:r>
      <w:r w:rsidR="000E0568" w:rsidRPr="003111BF">
        <w:rPr>
          <w:sz w:val="21"/>
          <w:szCs w:val="21"/>
        </w:rPr>
        <w:t xml:space="preserve">pplications to import </w:t>
      </w:r>
      <w:r w:rsidR="003111BF">
        <w:rPr>
          <w:sz w:val="21"/>
          <w:szCs w:val="21"/>
        </w:rPr>
        <w:t>soil</w:t>
      </w:r>
      <w:r w:rsidR="000E0568" w:rsidRPr="003111BF">
        <w:rPr>
          <w:sz w:val="21"/>
          <w:szCs w:val="21"/>
        </w:rPr>
        <w:t xml:space="preserve"> </w:t>
      </w:r>
      <w:r w:rsidR="00C134A0" w:rsidRPr="003111BF">
        <w:rPr>
          <w:sz w:val="21"/>
          <w:szCs w:val="21"/>
        </w:rPr>
        <w:t xml:space="preserve">need to </w:t>
      </w:r>
      <w:r w:rsidR="003111BF">
        <w:rPr>
          <w:sz w:val="21"/>
          <w:szCs w:val="21"/>
        </w:rPr>
        <w:t>include end use, country of origin</w:t>
      </w:r>
      <w:r w:rsidR="00D2595E">
        <w:rPr>
          <w:sz w:val="21"/>
          <w:szCs w:val="21"/>
        </w:rPr>
        <w:t>, country of export</w:t>
      </w:r>
      <w:r w:rsidR="003111BF">
        <w:rPr>
          <w:sz w:val="21"/>
          <w:szCs w:val="21"/>
        </w:rPr>
        <w:t xml:space="preserve">, </w:t>
      </w:r>
      <w:r w:rsidR="00D2595E" w:rsidRPr="003111BF">
        <w:rPr>
          <w:sz w:val="21"/>
          <w:szCs w:val="21"/>
          <w:lang w:eastAsia="ja-JP"/>
        </w:rPr>
        <w:t>t</w:t>
      </w:r>
      <w:r w:rsidR="00D83BC1">
        <w:rPr>
          <w:sz w:val="21"/>
          <w:szCs w:val="21"/>
          <w:lang w:eastAsia="ja-JP"/>
        </w:rPr>
        <w:t>he location and description of w</w:t>
      </w:r>
      <w:bookmarkStart w:id="0" w:name="_GoBack"/>
      <w:bookmarkEnd w:id="0"/>
      <w:r w:rsidR="00D2595E" w:rsidRPr="003111BF">
        <w:rPr>
          <w:sz w:val="21"/>
          <w:szCs w:val="21"/>
          <w:lang w:eastAsia="ja-JP"/>
        </w:rPr>
        <w:t>here the soil was collected</w:t>
      </w:r>
      <w:r w:rsidR="00D2595E">
        <w:rPr>
          <w:sz w:val="21"/>
          <w:szCs w:val="21"/>
          <w:lang w:eastAsia="ja-JP"/>
        </w:rPr>
        <w:t>,</w:t>
      </w:r>
      <w:r w:rsidR="00D2595E">
        <w:rPr>
          <w:sz w:val="21"/>
          <w:szCs w:val="21"/>
        </w:rPr>
        <w:t xml:space="preserve"> </w:t>
      </w:r>
      <w:r w:rsidR="003111BF">
        <w:rPr>
          <w:sz w:val="21"/>
          <w:szCs w:val="21"/>
        </w:rPr>
        <w:t>Approved Arrangement detail</w:t>
      </w:r>
      <w:r w:rsidR="00D2595E">
        <w:rPr>
          <w:sz w:val="21"/>
          <w:szCs w:val="21"/>
        </w:rPr>
        <w:t>s, and whether the presence of animal material is known.</w:t>
      </w:r>
    </w:p>
    <w:p w14:paraId="7624F405" w14:textId="77777777" w:rsidR="00596512" w:rsidRPr="003111BF" w:rsidRDefault="00596512" w:rsidP="00546844">
      <w:pPr>
        <w:spacing w:before="0" w:after="0"/>
        <w:rPr>
          <w:sz w:val="21"/>
          <w:szCs w:val="21"/>
        </w:rPr>
      </w:pPr>
    </w:p>
    <w:p w14:paraId="02B25842" w14:textId="3A6CF903" w:rsidR="00FF0810" w:rsidRPr="003111BF" w:rsidRDefault="00FF0810" w:rsidP="00D2595E">
      <w:pPr>
        <w:spacing w:before="0" w:after="0"/>
        <w:rPr>
          <w:sz w:val="21"/>
          <w:szCs w:val="21"/>
        </w:rPr>
      </w:pPr>
      <w:r w:rsidRPr="00D2595E">
        <w:rPr>
          <w:sz w:val="21"/>
          <w:szCs w:val="21"/>
          <w:u w:val="single"/>
        </w:rPr>
        <w:t>Note</w:t>
      </w:r>
      <w:r w:rsidRPr="00D2595E">
        <w:rPr>
          <w:sz w:val="21"/>
          <w:szCs w:val="21"/>
        </w:rPr>
        <w:t>:</w:t>
      </w:r>
      <w:r w:rsidRPr="003111BF">
        <w:rPr>
          <w:sz w:val="21"/>
          <w:szCs w:val="21"/>
        </w:rPr>
        <w:t xml:space="preserve"> Under Australian biosecurity legislation, laboratory animals are defined specifically as a: </w:t>
      </w:r>
      <w:r w:rsidRPr="00D2595E">
        <w:rPr>
          <w:i/>
          <w:sz w:val="21"/>
          <w:szCs w:val="21"/>
        </w:rPr>
        <w:t>‘guinea pig, hamster, mouse, rabbit, rat or microorganism that is used in a laboratory’</w:t>
      </w:r>
      <w:r w:rsidR="00D2595E" w:rsidRPr="00D2595E">
        <w:rPr>
          <w:sz w:val="21"/>
          <w:szCs w:val="21"/>
        </w:rPr>
        <w:t>.</w:t>
      </w:r>
    </w:p>
    <w:sectPr w:rsidR="00FF0810" w:rsidRPr="003111BF" w:rsidSect="000C51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D726C" w14:textId="77777777" w:rsidR="00565500" w:rsidRDefault="00565500" w:rsidP="00565500">
      <w:pPr>
        <w:spacing w:before="0" w:after="0"/>
      </w:pPr>
      <w:r>
        <w:separator/>
      </w:r>
    </w:p>
  </w:endnote>
  <w:endnote w:type="continuationSeparator" w:id="0">
    <w:p w14:paraId="16E46D45" w14:textId="77777777" w:rsidR="00565500" w:rsidRDefault="00565500" w:rsidP="00565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B88B" w14:textId="77777777" w:rsidR="00565500" w:rsidRDefault="00565500" w:rsidP="00565500">
      <w:pPr>
        <w:spacing w:before="0" w:after="0"/>
      </w:pPr>
      <w:r>
        <w:separator/>
      </w:r>
    </w:p>
  </w:footnote>
  <w:footnote w:type="continuationSeparator" w:id="0">
    <w:p w14:paraId="7D258B6E" w14:textId="77777777" w:rsidR="00565500" w:rsidRDefault="00565500" w:rsidP="005655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459F"/>
    <w:multiLevelType w:val="hybridMultilevel"/>
    <w:tmpl w:val="64F4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E507D1"/>
    <w:multiLevelType w:val="hybridMultilevel"/>
    <w:tmpl w:val="3402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91281"/>
    <w:multiLevelType w:val="hybridMultilevel"/>
    <w:tmpl w:val="60A4EB5A"/>
    <w:lvl w:ilvl="0" w:tplc="70CE2F1A">
      <w:start w:val="1"/>
      <w:numFmt w:val="lowerRoman"/>
      <w:lvlText w:val="%1."/>
      <w:lvlJc w:val="righ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68E09B1"/>
    <w:multiLevelType w:val="hybridMultilevel"/>
    <w:tmpl w:val="0B52BD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6"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9B"/>
    <w:rsid w:val="00005C5A"/>
    <w:rsid w:val="00030F4A"/>
    <w:rsid w:val="0005493D"/>
    <w:rsid w:val="00060BE2"/>
    <w:rsid w:val="000A33BE"/>
    <w:rsid w:val="000C1727"/>
    <w:rsid w:val="000C513C"/>
    <w:rsid w:val="000C6EB2"/>
    <w:rsid w:val="000E0568"/>
    <w:rsid w:val="000F4817"/>
    <w:rsid w:val="000F75A7"/>
    <w:rsid w:val="00104CE3"/>
    <w:rsid w:val="00115467"/>
    <w:rsid w:val="00183DEB"/>
    <w:rsid w:val="001A0BA3"/>
    <w:rsid w:val="001B749F"/>
    <w:rsid w:val="001C00AF"/>
    <w:rsid w:val="001C1D1B"/>
    <w:rsid w:val="001C530B"/>
    <w:rsid w:val="001D737D"/>
    <w:rsid w:val="001F7D9D"/>
    <w:rsid w:val="002005D1"/>
    <w:rsid w:val="0020328A"/>
    <w:rsid w:val="00212031"/>
    <w:rsid w:val="00225A98"/>
    <w:rsid w:val="002443CE"/>
    <w:rsid w:val="002511FB"/>
    <w:rsid w:val="00253F03"/>
    <w:rsid w:val="00283052"/>
    <w:rsid w:val="002D15C7"/>
    <w:rsid w:val="002D39C6"/>
    <w:rsid w:val="002D65BE"/>
    <w:rsid w:val="002E6793"/>
    <w:rsid w:val="00303031"/>
    <w:rsid w:val="003111BF"/>
    <w:rsid w:val="003243E0"/>
    <w:rsid w:val="003339BF"/>
    <w:rsid w:val="0033440F"/>
    <w:rsid w:val="00336812"/>
    <w:rsid w:val="00344DCC"/>
    <w:rsid w:val="00345C3A"/>
    <w:rsid w:val="00355B28"/>
    <w:rsid w:val="00381353"/>
    <w:rsid w:val="0038725A"/>
    <w:rsid w:val="003A6865"/>
    <w:rsid w:val="003F4308"/>
    <w:rsid w:val="003F62F0"/>
    <w:rsid w:val="00402134"/>
    <w:rsid w:val="004179B0"/>
    <w:rsid w:val="00421E28"/>
    <w:rsid w:val="004235A4"/>
    <w:rsid w:val="00425A47"/>
    <w:rsid w:val="004321B1"/>
    <w:rsid w:val="00433FEF"/>
    <w:rsid w:val="0043741E"/>
    <w:rsid w:val="00440265"/>
    <w:rsid w:val="00457641"/>
    <w:rsid w:val="00477B0E"/>
    <w:rsid w:val="004D1610"/>
    <w:rsid w:val="004E0D74"/>
    <w:rsid w:val="004E5E62"/>
    <w:rsid w:val="00541AF9"/>
    <w:rsid w:val="005422F0"/>
    <w:rsid w:val="00546844"/>
    <w:rsid w:val="00565500"/>
    <w:rsid w:val="005754FB"/>
    <w:rsid w:val="00593F0E"/>
    <w:rsid w:val="00594820"/>
    <w:rsid w:val="00596512"/>
    <w:rsid w:val="005B35DC"/>
    <w:rsid w:val="005E0EFC"/>
    <w:rsid w:val="0060155C"/>
    <w:rsid w:val="00617E23"/>
    <w:rsid w:val="00642A29"/>
    <w:rsid w:val="00672F9B"/>
    <w:rsid w:val="006F63C3"/>
    <w:rsid w:val="007540A8"/>
    <w:rsid w:val="00757012"/>
    <w:rsid w:val="007812F5"/>
    <w:rsid w:val="007851EB"/>
    <w:rsid w:val="007A6F51"/>
    <w:rsid w:val="007F0F23"/>
    <w:rsid w:val="007F5414"/>
    <w:rsid w:val="00815DF4"/>
    <w:rsid w:val="00827D98"/>
    <w:rsid w:val="00827E54"/>
    <w:rsid w:val="008323CB"/>
    <w:rsid w:val="00843458"/>
    <w:rsid w:val="00897E61"/>
    <w:rsid w:val="009014C3"/>
    <w:rsid w:val="00901FF9"/>
    <w:rsid w:val="00912297"/>
    <w:rsid w:val="0093787C"/>
    <w:rsid w:val="00975C34"/>
    <w:rsid w:val="00976FBE"/>
    <w:rsid w:val="009836CE"/>
    <w:rsid w:val="00985891"/>
    <w:rsid w:val="009907BD"/>
    <w:rsid w:val="009938A3"/>
    <w:rsid w:val="009B6941"/>
    <w:rsid w:val="009E47BF"/>
    <w:rsid w:val="009F47B3"/>
    <w:rsid w:val="00A23A09"/>
    <w:rsid w:val="00A514D6"/>
    <w:rsid w:val="00A87B7F"/>
    <w:rsid w:val="00A9112F"/>
    <w:rsid w:val="00AA097E"/>
    <w:rsid w:val="00AA345A"/>
    <w:rsid w:val="00AE0564"/>
    <w:rsid w:val="00AE798A"/>
    <w:rsid w:val="00B101A0"/>
    <w:rsid w:val="00B12364"/>
    <w:rsid w:val="00B25834"/>
    <w:rsid w:val="00B25D33"/>
    <w:rsid w:val="00B523DC"/>
    <w:rsid w:val="00B65CED"/>
    <w:rsid w:val="00BC3CD4"/>
    <w:rsid w:val="00BD650C"/>
    <w:rsid w:val="00BD6FEA"/>
    <w:rsid w:val="00C01A83"/>
    <w:rsid w:val="00C02FF3"/>
    <w:rsid w:val="00C04690"/>
    <w:rsid w:val="00C0615D"/>
    <w:rsid w:val="00C07995"/>
    <w:rsid w:val="00C11B5C"/>
    <w:rsid w:val="00C134A0"/>
    <w:rsid w:val="00C1631D"/>
    <w:rsid w:val="00C33F62"/>
    <w:rsid w:val="00C80AD1"/>
    <w:rsid w:val="00CD53BA"/>
    <w:rsid w:val="00CE1DDA"/>
    <w:rsid w:val="00D07502"/>
    <w:rsid w:val="00D2595E"/>
    <w:rsid w:val="00D31FB7"/>
    <w:rsid w:val="00D6456C"/>
    <w:rsid w:val="00D728B9"/>
    <w:rsid w:val="00D7461E"/>
    <w:rsid w:val="00D83764"/>
    <w:rsid w:val="00D83BC1"/>
    <w:rsid w:val="00D9452E"/>
    <w:rsid w:val="00DA7D33"/>
    <w:rsid w:val="00DB3E53"/>
    <w:rsid w:val="00DB6F40"/>
    <w:rsid w:val="00E269F9"/>
    <w:rsid w:val="00E52686"/>
    <w:rsid w:val="00E52DB9"/>
    <w:rsid w:val="00E73CD5"/>
    <w:rsid w:val="00E831AA"/>
    <w:rsid w:val="00EA74AE"/>
    <w:rsid w:val="00EB02A6"/>
    <w:rsid w:val="00EC3264"/>
    <w:rsid w:val="00EE1CC3"/>
    <w:rsid w:val="00F34169"/>
    <w:rsid w:val="00F56A68"/>
    <w:rsid w:val="00F77305"/>
    <w:rsid w:val="00F92765"/>
    <w:rsid w:val="00F93221"/>
    <w:rsid w:val="00FB65FC"/>
    <w:rsid w:val="00FD0C34"/>
    <w:rsid w:val="00FF0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A24EE"/>
  <w15:chartTrackingRefBased/>
  <w15:docId w15:val="{33799B87-F1AA-4382-B148-6C36180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A6"/>
    <w:pPr>
      <w:spacing w:before="60" w:after="120" w:line="240" w:lineRule="auto"/>
    </w:pPr>
    <w:rPr>
      <w:rFonts w:eastAsia="Calibri" w:cs="Times New Roman"/>
    </w:rPr>
  </w:style>
  <w:style w:type="paragraph" w:styleId="Heading1">
    <w:name w:val="heading 1"/>
    <w:basedOn w:val="Normal"/>
    <w:next w:val="Normal"/>
    <w:link w:val="Heading1Char"/>
    <w:uiPriority w:val="9"/>
    <w:qFormat/>
    <w:rsid w:val="004402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72F9B"/>
    <w:pPr>
      <w:pageBreakBefore/>
      <w:numPr>
        <w:numId w:val="1"/>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rsid w:val="00672F9B"/>
    <w:pPr>
      <w:keepNext/>
      <w:keepLines/>
      <w:numPr>
        <w:ilvl w:val="1"/>
        <w:numId w:val="1"/>
      </w:numPr>
      <w:spacing w:before="360" w:after="120" w:line="240" w:lineRule="auto"/>
      <w:outlineLvl w:val="2"/>
    </w:pPr>
    <w:rPr>
      <w:rFonts w:eastAsia="Times New Roman" w:cs="Times New Roman"/>
      <w:b/>
      <w:bCs/>
      <w:sz w:val="32"/>
      <w:szCs w:val="24"/>
    </w:rPr>
  </w:style>
  <w:style w:type="paragraph" w:styleId="Heading5">
    <w:name w:val="heading 5"/>
    <w:basedOn w:val="Normal"/>
    <w:next w:val="Normal"/>
    <w:link w:val="Heading5Char"/>
    <w:uiPriority w:val="9"/>
    <w:unhideWhenUsed/>
    <w:qFormat/>
    <w:rsid w:val="00E269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72F9B"/>
    <w:rPr>
      <w:rFonts w:ascii="Calibri" w:eastAsia="Times New Roman" w:hAnsi="Calibri" w:cs="Times New Roman"/>
      <w:bCs/>
      <w:color w:val="000000"/>
      <w:sz w:val="56"/>
      <w:szCs w:val="28"/>
      <w:lang w:eastAsia="ja-JP"/>
    </w:rPr>
  </w:style>
  <w:style w:type="character" w:customStyle="1" w:styleId="Heading3Char">
    <w:name w:val="Heading 3 Char"/>
    <w:basedOn w:val="DefaultParagraphFont"/>
    <w:link w:val="Heading3"/>
    <w:uiPriority w:val="4"/>
    <w:rsid w:val="00672F9B"/>
    <w:rPr>
      <w:rFonts w:eastAsia="Times New Roman" w:cs="Times New Roman"/>
      <w:b/>
      <w:bCs/>
      <w:sz w:val="32"/>
      <w:szCs w:val="24"/>
    </w:rPr>
  </w:style>
  <w:style w:type="character" w:styleId="Hyperlink">
    <w:name w:val="Hyperlink"/>
    <w:basedOn w:val="DefaultParagraphFont"/>
    <w:uiPriority w:val="99"/>
    <w:qFormat/>
    <w:rsid w:val="00672F9B"/>
    <w:rPr>
      <w:color w:val="165788"/>
      <w:u w:val="single"/>
    </w:rPr>
  </w:style>
  <w:style w:type="numbering" w:customStyle="1" w:styleId="Headings">
    <w:name w:val="Headings"/>
    <w:uiPriority w:val="99"/>
    <w:rsid w:val="00672F9B"/>
    <w:pPr>
      <w:numPr>
        <w:numId w:val="1"/>
      </w:numPr>
    </w:pPr>
  </w:style>
  <w:style w:type="paragraph" w:styleId="Header">
    <w:name w:val="header"/>
    <w:link w:val="HeaderChar"/>
    <w:unhideWhenUsed/>
    <w:rsid w:val="00672F9B"/>
    <w:pPr>
      <w:tabs>
        <w:tab w:val="right" w:pos="9026"/>
      </w:tabs>
      <w:spacing w:after="0" w:line="240" w:lineRule="auto"/>
    </w:pPr>
    <w:rPr>
      <w:rFonts w:ascii="Calibri" w:hAnsi="Calibri" w:cs="Times New Roman"/>
      <w:sz w:val="20"/>
      <w:szCs w:val="20"/>
      <w:lang w:eastAsia="en-AU"/>
    </w:rPr>
  </w:style>
  <w:style w:type="character" w:customStyle="1" w:styleId="HeaderChar">
    <w:name w:val="Header Char"/>
    <w:basedOn w:val="DefaultParagraphFont"/>
    <w:link w:val="Header"/>
    <w:rsid w:val="00672F9B"/>
    <w:rPr>
      <w:rFonts w:ascii="Calibri" w:hAnsi="Calibri" w:cs="Times New Roman"/>
      <w:sz w:val="20"/>
      <w:szCs w:val="20"/>
      <w:lang w:eastAsia="en-AU"/>
    </w:rPr>
  </w:style>
  <w:style w:type="table" w:styleId="GridTable1Light">
    <w:name w:val="Grid Table 1 Light"/>
    <w:basedOn w:val="TableNormal"/>
    <w:uiPriority w:val="46"/>
    <w:rsid w:val="00672F9B"/>
    <w:pPr>
      <w:spacing w:after="0" w:line="240" w:lineRule="auto"/>
    </w:pPr>
    <w:rPr>
      <w:rFonts w:ascii="Cambria" w:eastAsia="Calibri" w:hAnsi="Cambria"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ocumentType-Reference">
    <w:name w:val="Document Type - Reference"/>
    <w:basedOn w:val="Normal"/>
    <w:link w:val="DocumentType-ReferenceChar"/>
    <w:qFormat/>
    <w:rsid w:val="00672F9B"/>
    <w:pPr>
      <w:widowControl w:val="0"/>
      <w:shd w:val="clear" w:color="auto" w:fill="00759A"/>
      <w:tabs>
        <w:tab w:val="center" w:pos="4465"/>
      </w:tabs>
      <w:spacing w:before="240" w:after="60"/>
      <w:jc w:val="center"/>
    </w:pPr>
    <w:rPr>
      <w:rFonts w:eastAsia="Times New Roman"/>
      <w:b/>
      <w:color w:val="FFFFFF"/>
      <w:sz w:val="48"/>
      <w:szCs w:val="20"/>
    </w:rPr>
  </w:style>
  <w:style w:type="character" w:customStyle="1" w:styleId="DocumentType-ReferenceChar">
    <w:name w:val="Document Type - Reference Char"/>
    <w:link w:val="DocumentType-Reference"/>
    <w:rsid w:val="00672F9B"/>
    <w:rPr>
      <w:rFonts w:ascii="Cambria" w:eastAsia="Times New Roman" w:hAnsi="Cambria" w:cs="Times New Roman"/>
      <w:b/>
      <w:color w:val="FFFFFF"/>
      <w:sz w:val="48"/>
      <w:szCs w:val="20"/>
      <w:shd w:val="clear" w:color="auto" w:fill="00759A"/>
    </w:rPr>
  </w:style>
  <w:style w:type="paragraph" w:customStyle="1" w:styleId="Default">
    <w:name w:val="Default"/>
    <w:rsid w:val="00672F9B"/>
    <w:pPr>
      <w:autoSpaceDE w:val="0"/>
      <w:autoSpaceDN w:val="0"/>
      <w:adjustRightInd w:val="0"/>
      <w:spacing w:after="0" w:line="240" w:lineRule="auto"/>
    </w:pPr>
    <w:rPr>
      <w:rFonts w:ascii="Calibri" w:eastAsia="Calibri" w:hAnsi="Calibri" w:cs="Calibri"/>
      <w:color w:val="000000"/>
      <w:sz w:val="24"/>
      <w:szCs w:val="24"/>
      <w:lang w:eastAsia="en-AU"/>
    </w:rPr>
  </w:style>
  <w:style w:type="table" w:styleId="GridTable1Light-Accent1">
    <w:name w:val="Grid Table 1 Light Accent 1"/>
    <w:basedOn w:val="TableNormal"/>
    <w:uiPriority w:val="46"/>
    <w:rsid w:val="00672F9B"/>
    <w:pPr>
      <w:spacing w:after="0" w:line="240" w:lineRule="auto"/>
    </w:pPr>
    <w:rPr>
      <w:rFonts w:ascii="Cambria" w:eastAsia="Calibri" w:hAnsi="Cambria" w:cs="Times New Roman"/>
      <w:sz w:val="20"/>
      <w:szCs w:val="20"/>
      <w:lang w:eastAsia="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402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440265"/>
    <w:pPr>
      <w:ind w:left="720"/>
      <w:contextualSpacing/>
    </w:pPr>
  </w:style>
  <w:style w:type="paragraph" w:styleId="NoSpacing">
    <w:name w:val="No Spacing"/>
    <w:uiPriority w:val="1"/>
    <w:qFormat/>
    <w:rsid w:val="00EB02A6"/>
    <w:pPr>
      <w:spacing w:after="0" w:line="240" w:lineRule="auto"/>
    </w:pPr>
    <w:rPr>
      <w:rFonts w:ascii="Cambria" w:eastAsia="Calibri" w:hAnsi="Cambria" w:cs="Times New Roman"/>
    </w:rPr>
  </w:style>
  <w:style w:type="table" w:styleId="TableGrid">
    <w:name w:val="Table Grid"/>
    <w:basedOn w:val="TableNormal"/>
    <w:uiPriority w:val="39"/>
    <w:rsid w:val="00F9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514D6"/>
    <w:rPr>
      <w:b/>
      <w:bCs/>
      <w:smallCaps/>
      <w:color w:val="5B9BD5" w:themeColor="accent1"/>
      <w:spacing w:val="5"/>
    </w:rPr>
  </w:style>
  <w:style w:type="character" w:styleId="IntenseEmphasis">
    <w:name w:val="Intense Emphasis"/>
    <w:basedOn w:val="DefaultParagraphFont"/>
    <w:uiPriority w:val="21"/>
    <w:qFormat/>
    <w:rsid w:val="00A514D6"/>
    <w:rPr>
      <w:i/>
      <w:iCs/>
      <w:color w:val="5B9BD5" w:themeColor="accent1"/>
    </w:rPr>
  </w:style>
  <w:style w:type="table" w:styleId="PlainTable2">
    <w:name w:val="Plain Table 2"/>
    <w:basedOn w:val="TableNormal"/>
    <w:uiPriority w:val="42"/>
    <w:rsid w:val="00433F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3F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33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3F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rsid w:val="00E269F9"/>
    <w:rPr>
      <w:rFonts w:asciiTheme="majorHAnsi" w:eastAsiaTheme="majorEastAsia" w:hAnsiTheme="majorHAnsi" w:cstheme="majorBidi"/>
      <w:color w:val="2E74B5" w:themeColor="accent1" w:themeShade="BF"/>
    </w:rPr>
  </w:style>
  <w:style w:type="numbering" w:customStyle="1" w:styleId="List1">
    <w:name w:val="List1"/>
    <w:basedOn w:val="NoList"/>
    <w:uiPriority w:val="99"/>
    <w:rsid w:val="00E831AA"/>
    <w:pPr>
      <w:numPr>
        <w:numId w:val="4"/>
      </w:numPr>
    </w:pPr>
  </w:style>
  <w:style w:type="paragraph" w:styleId="Footer">
    <w:name w:val="footer"/>
    <w:basedOn w:val="Normal"/>
    <w:link w:val="FooterChar"/>
    <w:uiPriority w:val="99"/>
    <w:unhideWhenUsed/>
    <w:rsid w:val="00565500"/>
    <w:pPr>
      <w:tabs>
        <w:tab w:val="center" w:pos="4513"/>
        <w:tab w:val="right" w:pos="9026"/>
      </w:tabs>
      <w:spacing w:before="0" w:after="0"/>
    </w:pPr>
  </w:style>
  <w:style w:type="character" w:customStyle="1" w:styleId="FooterChar">
    <w:name w:val="Footer Char"/>
    <w:basedOn w:val="DefaultParagraphFont"/>
    <w:link w:val="Footer"/>
    <w:uiPriority w:val="99"/>
    <w:rsid w:val="00565500"/>
    <w:rPr>
      <w:rFonts w:eastAsia="Calibri" w:cs="Times New Roman"/>
    </w:rPr>
  </w:style>
  <w:style w:type="character" w:styleId="CommentReference">
    <w:name w:val="annotation reference"/>
    <w:basedOn w:val="DefaultParagraphFont"/>
    <w:uiPriority w:val="99"/>
    <w:semiHidden/>
    <w:unhideWhenUsed/>
    <w:rsid w:val="000C1727"/>
    <w:rPr>
      <w:sz w:val="16"/>
      <w:szCs w:val="16"/>
    </w:rPr>
  </w:style>
  <w:style w:type="paragraph" w:styleId="CommentText">
    <w:name w:val="annotation text"/>
    <w:basedOn w:val="Normal"/>
    <w:link w:val="CommentTextChar"/>
    <w:uiPriority w:val="99"/>
    <w:semiHidden/>
    <w:unhideWhenUsed/>
    <w:rsid w:val="000C1727"/>
    <w:rPr>
      <w:sz w:val="20"/>
      <w:szCs w:val="20"/>
    </w:rPr>
  </w:style>
  <w:style w:type="character" w:customStyle="1" w:styleId="CommentTextChar">
    <w:name w:val="Comment Text Char"/>
    <w:basedOn w:val="DefaultParagraphFont"/>
    <w:link w:val="CommentText"/>
    <w:uiPriority w:val="99"/>
    <w:semiHidden/>
    <w:rsid w:val="000C172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C1727"/>
    <w:rPr>
      <w:b/>
      <w:bCs/>
    </w:rPr>
  </w:style>
  <w:style w:type="character" w:customStyle="1" w:styleId="CommentSubjectChar">
    <w:name w:val="Comment Subject Char"/>
    <w:basedOn w:val="CommentTextChar"/>
    <w:link w:val="CommentSubject"/>
    <w:uiPriority w:val="99"/>
    <w:semiHidden/>
    <w:rsid w:val="000C1727"/>
    <w:rPr>
      <w:rFonts w:eastAsia="Calibri" w:cs="Times New Roman"/>
      <w:b/>
      <w:bCs/>
      <w:sz w:val="20"/>
      <w:szCs w:val="20"/>
    </w:rPr>
  </w:style>
  <w:style w:type="paragraph" w:styleId="BalloonText">
    <w:name w:val="Balloon Text"/>
    <w:basedOn w:val="Normal"/>
    <w:link w:val="BalloonTextChar"/>
    <w:uiPriority w:val="99"/>
    <w:semiHidden/>
    <w:unhideWhenUsed/>
    <w:rsid w:val="000C172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27"/>
    <w:rPr>
      <w:rFonts w:ascii="Segoe UI" w:eastAsia="Calibri" w:hAnsi="Segoe UI" w:cs="Segoe UI"/>
      <w:sz w:val="18"/>
      <w:szCs w:val="18"/>
    </w:rPr>
  </w:style>
  <w:style w:type="character" w:customStyle="1" w:styleId="ListParagraphChar">
    <w:name w:val="List Paragraph Char"/>
    <w:basedOn w:val="DefaultParagraphFont"/>
    <w:link w:val="ListParagraph"/>
    <w:uiPriority w:val="34"/>
    <w:rsid w:val="00E73CD5"/>
    <w:rPr>
      <w:rFonts w:eastAsia="Calibri" w:cs="Times New Roman"/>
    </w:rPr>
  </w:style>
  <w:style w:type="character" w:styleId="FollowedHyperlink">
    <w:name w:val="FollowedHyperlink"/>
    <w:basedOn w:val="DefaultParagraphFont"/>
    <w:uiPriority w:val="99"/>
    <w:semiHidden/>
    <w:unhideWhenUsed/>
    <w:rsid w:val="00C3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culture.gov.au/pests-diseases-weeds/animal/ead-bulletin/ead-bulletin-no-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pests-diseases-weeds/animal/ead-bulletin/ead-bulletin-no-120" TargetMode="External"/><Relationship Id="rId5" Type="http://schemas.openxmlformats.org/officeDocument/2006/relationships/webSettings" Target="webSettings.xml"/><Relationship Id="rId10" Type="http://schemas.openxmlformats.org/officeDocument/2006/relationships/hyperlink" Target="http://www.agriculture.gov.au/pests-diseases-weeds/animal/fmd" TargetMode="External"/><Relationship Id="rId4" Type="http://schemas.openxmlformats.org/officeDocument/2006/relationships/settings" Target="settings.xml"/><Relationship Id="rId9" Type="http://schemas.openxmlformats.org/officeDocument/2006/relationships/hyperlink" Target="https://www.shutterstock.com/phot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8914-3D1A-4B03-9720-0B94F81D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Clancy</dc:creator>
  <cp:keywords/>
  <dc:description/>
  <cp:lastModifiedBy>_</cp:lastModifiedBy>
  <cp:revision>2</cp:revision>
  <dcterms:created xsi:type="dcterms:W3CDTF">2019-08-27T04:08:00Z</dcterms:created>
  <dcterms:modified xsi:type="dcterms:W3CDTF">2019-08-27T04:08:00Z</dcterms:modified>
</cp:coreProperties>
</file>